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C3B4B" w14:textId="77777777" w:rsidR="003D4C2F" w:rsidRDefault="003D4C2F">
      <w:pPr>
        <w:spacing w:line="240" w:lineRule="auto"/>
        <w:rPr>
          <w:rFonts w:ascii="Calibri" w:eastAsia="Calibri" w:hAnsi="Calibri" w:cs="Calibri"/>
          <w:sz w:val="20"/>
          <w:szCs w:val="20"/>
        </w:rPr>
      </w:pPr>
    </w:p>
    <w:tbl>
      <w:tblPr>
        <w:tblStyle w:val="a"/>
        <w:tblW w:w="9390" w:type="dxa"/>
        <w:tblInd w:w="-113" w:type="dxa"/>
        <w:tblLayout w:type="fixed"/>
        <w:tblLook w:val="0000" w:firstRow="0" w:lastRow="0" w:firstColumn="0" w:lastColumn="0" w:noHBand="0" w:noVBand="0"/>
      </w:tblPr>
      <w:tblGrid>
        <w:gridCol w:w="3495"/>
        <w:gridCol w:w="5895"/>
      </w:tblGrid>
      <w:tr w:rsidR="003D4C2F" w14:paraId="2E073438" w14:textId="77777777">
        <w:trPr>
          <w:trHeight w:val="420"/>
        </w:trPr>
        <w:tc>
          <w:tcPr>
            <w:tcW w:w="9390" w:type="dxa"/>
            <w:gridSpan w:val="2"/>
            <w:tcBorders>
              <w:top w:val="single" w:sz="4" w:space="0" w:color="000001"/>
              <w:bottom w:val="single" w:sz="4" w:space="0" w:color="000001"/>
            </w:tcBorders>
            <w:shd w:val="clear" w:color="auto" w:fill="405D78"/>
          </w:tcPr>
          <w:p w14:paraId="08FB5C0E" w14:textId="77777777" w:rsidR="003D4C2F" w:rsidRDefault="00000000">
            <w:pPr>
              <w:spacing w:line="276" w:lineRule="auto"/>
              <w:rPr>
                <w:rFonts w:ascii="Calibri" w:eastAsia="Calibri" w:hAnsi="Calibri" w:cs="Calibri"/>
                <w:b/>
                <w:bCs/>
                <w:color w:val="FFFFFF"/>
                <w:sz w:val="28"/>
                <w:szCs w:val="28"/>
              </w:rPr>
            </w:pPr>
            <w:r>
              <w:rPr>
                <w:rFonts w:ascii="Calibri" w:eastAsia="Calibri" w:hAnsi="Calibri" w:cs="Calibri"/>
                <w:b/>
                <w:bCs/>
                <w:color w:val="FFFFFF"/>
                <w:sz w:val="28"/>
                <w:szCs w:val="28"/>
              </w:rPr>
              <w:t xml:space="preserve">  Programme de la Recherche Transfrontalière</w:t>
            </w:r>
          </w:p>
        </w:tc>
      </w:tr>
      <w:tr w:rsidR="003D4C2F" w14:paraId="7FE7AAA6" w14:textId="77777777">
        <w:trPr>
          <w:trHeight w:val="641"/>
        </w:trPr>
        <w:tc>
          <w:tcPr>
            <w:tcW w:w="3495" w:type="dxa"/>
            <w:tcBorders>
              <w:bottom w:val="single" w:sz="4" w:space="0" w:color="000001"/>
            </w:tcBorders>
            <w:shd w:val="clear" w:color="auto" w:fill="D4DEE8"/>
          </w:tcPr>
          <w:p w14:paraId="656B057C" w14:textId="77777777" w:rsidR="003D4C2F" w:rsidRDefault="00000000">
            <w:pPr>
              <w:spacing w:line="276" w:lineRule="auto"/>
              <w:rPr>
                <w:rFonts w:ascii="Calibri" w:eastAsia="Calibri" w:hAnsi="Calibri" w:cs="Calibri"/>
                <w:b/>
                <w:bCs/>
              </w:rPr>
            </w:pPr>
            <w:r>
              <w:rPr>
                <w:rFonts w:ascii="Calibri" w:eastAsia="Calibri" w:hAnsi="Calibri" w:cs="Calibri"/>
                <w:b/>
                <w:bCs/>
              </w:rPr>
              <w:t>Composantes</w:t>
            </w:r>
          </w:p>
        </w:tc>
        <w:tc>
          <w:tcPr>
            <w:tcW w:w="5895" w:type="dxa"/>
            <w:tcBorders>
              <w:bottom w:val="single" w:sz="4" w:space="0" w:color="000001"/>
            </w:tcBorders>
            <w:shd w:val="clear" w:color="auto" w:fill="D4DEE8"/>
          </w:tcPr>
          <w:p w14:paraId="55BE4847" w14:textId="77777777" w:rsidR="003D4C2F" w:rsidRDefault="00000000">
            <w:pPr>
              <w:spacing w:line="276" w:lineRule="auto"/>
              <w:rPr>
                <w:rFonts w:ascii="Calibri" w:eastAsia="Calibri" w:hAnsi="Calibri" w:cs="Calibri"/>
                <w:b/>
                <w:bCs/>
              </w:rPr>
            </w:pPr>
            <w:r>
              <w:rPr>
                <w:rFonts w:ascii="Calibri" w:eastAsia="Calibri" w:hAnsi="Calibri" w:cs="Calibri"/>
                <w:b/>
                <w:bCs/>
              </w:rPr>
              <w:t>Indicateurs/activités suggérés</w:t>
            </w:r>
          </w:p>
        </w:tc>
      </w:tr>
      <w:tr w:rsidR="003D4C2F" w14:paraId="489BE54C" w14:textId="77777777">
        <w:trPr>
          <w:trHeight w:val="1890"/>
        </w:trPr>
        <w:tc>
          <w:tcPr>
            <w:tcW w:w="3495" w:type="dxa"/>
            <w:tcBorders>
              <w:bottom w:val="single" w:sz="4" w:space="0" w:color="000001"/>
            </w:tcBorders>
            <w:shd w:val="clear" w:color="auto" w:fill="D4DEE8"/>
          </w:tcPr>
          <w:p w14:paraId="758AA0DB" w14:textId="77777777" w:rsidR="003D4C2F" w:rsidRDefault="00000000">
            <w:pPr>
              <w:spacing w:line="276" w:lineRule="auto"/>
              <w:rPr>
                <w:rFonts w:ascii="Calibri" w:eastAsia="Calibri" w:hAnsi="Calibri" w:cs="Calibri"/>
              </w:rPr>
            </w:pPr>
            <w:r>
              <w:rPr>
                <w:rFonts w:ascii="Calibri" w:eastAsia="Calibri" w:hAnsi="Calibri" w:cs="Calibri"/>
              </w:rPr>
              <w:t>Les autorités gouvernementales jouent un rôle actif dans la coordination et la mise en œuvre lorsque cela est approprié et possible.</w:t>
            </w:r>
          </w:p>
        </w:tc>
        <w:tc>
          <w:tcPr>
            <w:tcW w:w="5895" w:type="dxa"/>
            <w:tcBorders>
              <w:bottom w:val="single" w:sz="4" w:space="0" w:color="000001"/>
            </w:tcBorders>
            <w:shd w:val="clear" w:color="auto" w:fill="FFFFFF"/>
          </w:tcPr>
          <w:p w14:paraId="6249E9D1" w14:textId="77777777" w:rsidR="003D4C2F" w:rsidRDefault="00000000">
            <w:pPr>
              <w:spacing w:line="276" w:lineRule="auto"/>
              <w:rPr>
                <w:rFonts w:ascii="Calibri" w:eastAsia="Calibri" w:hAnsi="Calibri" w:cs="Calibri"/>
              </w:rPr>
            </w:pPr>
            <w:r>
              <w:rPr>
                <w:rFonts w:ascii="Calibri" w:eastAsia="Calibri" w:hAnsi="Calibri" w:cs="Calibri"/>
              </w:rPr>
              <w:t>L'implication des autorités gouvernementales est facilitée, et  leurs capacités renforcées ou développées lorsque cela est  nécessaire. Le travail d'urgence avec les ENAS est lié à un cadre national  pour la prise en charge de tous les enfants vulnérables lorsque celui-ci existe.</w:t>
            </w:r>
          </w:p>
        </w:tc>
      </w:tr>
      <w:tr w:rsidR="003D4C2F" w14:paraId="458B46FC" w14:textId="77777777">
        <w:trPr>
          <w:trHeight w:val="2430"/>
        </w:trPr>
        <w:tc>
          <w:tcPr>
            <w:tcW w:w="3495" w:type="dxa"/>
            <w:tcBorders>
              <w:bottom w:val="single" w:sz="4" w:space="0" w:color="000001"/>
            </w:tcBorders>
            <w:shd w:val="clear" w:color="auto" w:fill="D4DEE8"/>
          </w:tcPr>
          <w:p w14:paraId="1FB85D71" w14:textId="77777777" w:rsidR="003D4C2F" w:rsidRDefault="00000000">
            <w:pPr>
              <w:spacing w:line="276" w:lineRule="auto"/>
              <w:rPr>
                <w:rFonts w:ascii="Calibri" w:eastAsia="Calibri" w:hAnsi="Calibri" w:cs="Calibri"/>
              </w:rPr>
            </w:pPr>
            <w:r>
              <w:rPr>
                <w:rFonts w:ascii="Calibri" w:eastAsia="Calibri" w:hAnsi="Calibri" w:cs="Calibri"/>
              </w:rPr>
              <w:t>Coordination efficace de tous les partenaires</w:t>
            </w:r>
          </w:p>
        </w:tc>
        <w:tc>
          <w:tcPr>
            <w:tcW w:w="5895" w:type="dxa"/>
            <w:tcBorders>
              <w:bottom w:val="single" w:sz="4" w:space="0" w:color="000001"/>
            </w:tcBorders>
            <w:shd w:val="clear" w:color="auto" w:fill="FFFFFF"/>
          </w:tcPr>
          <w:p w14:paraId="7EE580CD" w14:textId="77777777" w:rsidR="003D4C2F" w:rsidRDefault="00000000">
            <w:pPr>
              <w:spacing w:line="276" w:lineRule="auto"/>
              <w:rPr>
                <w:rFonts w:ascii="Calibri" w:eastAsia="Calibri" w:hAnsi="Calibri" w:cs="Calibri"/>
              </w:rPr>
            </w:pPr>
            <w:r>
              <w:rPr>
                <w:rFonts w:ascii="Calibri" w:eastAsia="Calibri" w:hAnsi="Calibri" w:cs="Calibri"/>
              </w:rPr>
              <w:t>Un cadre de travail clair définit les mécanismes de coordination des activités, de prise de décision et de partage d'informations aux niveaux local, national et régional, et les accords (par exemple, les protocoles d'accord ou les procédures opérationnelles standard) soulignent l'importance de la coopération et précisent quelle organisation est responsable de chaque aspect de IDTR/RFL  dans chaque zone/pays.</w:t>
            </w:r>
          </w:p>
        </w:tc>
      </w:tr>
      <w:tr w:rsidR="003D4C2F" w14:paraId="789A80B1" w14:textId="77777777">
        <w:trPr>
          <w:trHeight w:val="3620"/>
        </w:trPr>
        <w:tc>
          <w:tcPr>
            <w:tcW w:w="3495" w:type="dxa"/>
            <w:tcBorders>
              <w:bottom w:val="single" w:sz="4" w:space="0" w:color="000001"/>
            </w:tcBorders>
            <w:shd w:val="clear" w:color="auto" w:fill="D4DEE8"/>
          </w:tcPr>
          <w:p w14:paraId="0B2F1DD2" w14:textId="77777777" w:rsidR="003D4C2F" w:rsidRDefault="00000000">
            <w:pPr>
              <w:spacing w:line="276" w:lineRule="auto"/>
              <w:rPr>
                <w:rFonts w:ascii="Calibri" w:eastAsia="Calibri" w:hAnsi="Calibri" w:cs="Calibri"/>
              </w:rPr>
            </w:pPr>
            <w:r>
              <w:rPr>
                <w:rFonts w:ascii="Calibri" w:eastAsia="Calibri" w:hAnsi="Calibri" w:cs="Calibri"/>
              </w:rPr>
              <w:t>Les outils standardisés sont utilisés et mis en oeuvre de manière appropriée par tous les partenaires</w:t>
            </w:r>
          </w:p>
        </w:tc>
        <w:tc>
          <w:tcPr>
            <w:tcW w:w="5895" w:type="dxa"/>
            <w:tcBorders>
              <w:bottom w:val="single" w:sz="4" w:space="0" w:color="000001"/>
            </w:tcBorders>
            <w:shd w:val="clear" w:color="auto" w:fill="FFFFFF"/>
          </w:tcPr>
          <w:p w14:paraId="2997C6D3" w14:textId="77777777" w:rsidR="003D4C2F" w:rsidRDefault="00000000">
            <w:pPr>
              <w:spacing w:line="276" w:lineRule="auto"/>
            </w:pPr>
            <w:r>
              <w:rPr>
                <w:rFonts w:ascii="Calibri" w:eastAsia="Calibri" w:hAnsi="Calibri" w:cs="Calibri"/>
              </w:rPr>
              <w:t>Le système interagences de gestion de l’information pour la protection de l’enfance (IA CP IMS)  est largement promue en vue d’une mise en oeuvre  précoce</w:t>
            </w:r>
            <w:r>
              <w:rPr>
                <w:rFonts w:ascii="Calibri" w:eastAsia="Calibri" w:hAnsi="Calibri" w:cs="Calibri"/>
                <w:vertAlign w:val="superscript"/>
              </w:rPr>
              <w:t>[1]</w:t>
            </w:r>
            <w:r>
              <w:rPr>
                <w:rFonts w:ascii="Calibri" w:eastAsia="Calibri" w:hAnsi="Calibri" w:cs="Calibri"/>
              </w:rPr>
              <w:t xml:space="preserve"> </w:t>
            </w:r>
          </w:p>
          <w:p w14:paraId="3EB355B5" w14:textId="77777777" w:rsidR="003D4C2F" w:rsidRDefault="00000000">
            <w:pPr>
              <w:numPr>
                <w:ilvl w:val="0"/>
                <w:numId w:val="1"/>
              </w:numPr>
              <w:pBdr>
                <w:top w:val="nil"/>
                <w:left w:val="nil"/>
                <w:bottom w:val="nil"/>
                <w:right w:val="nil"/>
                <w:between w:val="nil"/>
              </w:pBdr>
              <w:spacing w:line="276" w:lineRule="auto"/>
              <w:rPr>
                <w:color w:val="000000"/>
              </w:rPr>
            </w:pPr>
            <w:r>
              <w:rPr>
                <w:rFonts w:ascii="Calibri" w:eastAsia="Calibri" w:hAnsi="Calibri" w:cs="Calibri"/>
                <w:color w:val="000000"/>
              </w:rPr>
              <w:t xml:space="preserve"> Les bases de données compatibles facilitent le partage d'informations nécessaire aux fins d</w:t>
            </w:r>
            <w:r>
              <w:rPr>
                <w:rFonts w:ascii="Calibri" w:eastAsia="Calibri" w:hAnsi="Calibri" w:cs="Calibri"/>
              </w:rPr>
              <w:t>e</w:t>
            </w:r>
            <w:r>
              <w:rPr>
                <w:rFonts w:ascii="Calibri" w:eastAsia="Calibri" w:hAnsi="Calibri" w:cs="Calibri"/>
                <w:color w:val="000000"/>
              </w:rPr>
              <w:t xml:space="preserve"> </w:t>
            </w:r>
            <w:r>
              <w:rPr>
                <w:rFonts w:ascii="Calibri" w:eastAsia="Calibri" w:hAnsi="Calibri" w:cs="Calibri"/>
              </w:rPr>
              <w:t>FTR/RFL</w:t>
            </w:r>
          </w:p>
          <w:p w14:paraId="00EBDE6B" w14:textId="77777777" w:rsidR="003D4C2F" w:rsidRDefault="00000000">
            <w:pPr>
              <w:numPr>
                <w:ilvl w:val="0"/>
                <w:numId w:val="1"/>
              </w:num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color w:val="000000"/>
              </w:rPr>
              <w:t>Dans la mesure du possible, les informations sont centralisées afin de permettre le recoupement entre et à travers les programmes nationaux.</w:t>
            </w:r>
          </w:p>
          <w:p w14:paraId="73C0644B" w14:textId="77777777" w:rsidR="003D4C2F" w:rsidRDefault="00000000">
            <w:pPr>
              <w:numPr>
                <w:ilvl w:val="0"/>
                <w:numId w:val="1"/>
              </w:num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color w:val="000000"/>
              </w:rPr>
              <w:t>Des protocoles de protection des données sont convenus et utilisés par tous les partenaires de mise en œuvre.</w:t>
            </w:r>
          </w:p>
          <w:p w14:paraId="36D47EA5" w14:textId="77777777" w:rsidR="003D4C2F" w:rsidRDefault="00000000">
            <w:pPr>
              <w:numPr>
                <w:ilvl w:val="0"/>
                <w:numId w:val="1"/>
              </w:num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color w:val="000000"/>
              </w:rPr>
              <w:t>Le système de gestion de l'information est utilisé pour soutenir la gestion de cas</w:t>
            </w:r>
          </w:p>
          <w:p w14:paraId="110B4674" w14:textId="77777777" w:rsidR="003D4C2F" w:rsidRDefault="00000000">
            <w:pPr>
              <w:pBdr>
                <w:top w:val="nil"/>
                <w:left w:val="nil"/>
                <w:bottom w:val="nil"/>
                <w:right w:val="nil"/>
                <w:between w:val="nil"/>
              </w:pBdr>
              <w:spacing w:line="276" w:lineRule="auto"/>
              <w:rPr>
                <w:rFonts w:ascii="Calibri" w:eastAsia="Calibri" w:hAnsi="Calibri" w:cs="Calibri"/>
                <w:color w:val="000000"/>
              </w:rPr>
            </w:pPr>
            <w:r>
              <w:rPr>
                <w:rFonts w:ascii="Calibri" w:eastAsia="Calibri" w:hAnsi="Calibri" w:cs="Calibri"/>
                <w:color w:val="000000"/>
              </w:rPr>
              <w:t>Des formations conjointes régulières réunissent le personnel chargé de la gestion de l'information dans tous les pays de mise en œuvre.</w:t>
            </w:r>
          </w:p>
        </w:tc>
      </w:tr>
      <w:tr w:rsidR="003D4C2F" w14:paraId="4AA1E5A6" w14:textId="77777777">
        <w:trPr>
          <w:trHeight w:val="1025"/>
        </w:trPr>
        <w:tc>
          <w:tcPr>
            <w:tcW w:w="3495" w:type="dxa"/>
            <w:tcBorders>
              <w:top w:val="single" w:sz="4" w:space="0" w:color="000001"/>
              <w:bottom w:val="single" w:sz="4" w:space="0" w:color="000001"/>
            </w:tcBorders>
            <w:shd w:val="clear" w:color="auto" w:fill="D4DEE8"/>
          </w:tcPr>
          <w:p w14:paraId="5A47FB1D" w14:textId="77777777" w:rsidR="003D4C2F" w:rsidRDefault="00000000">
            <w:pPr>
              <w:spacing w:line="276" w:lineRule="auto"/>
              <w:rPr>
                <w:rFonts w:ascii="Calibri" w:eastAsia="Calibri" w:hAnsi="Calibri" w:cs="Calibri"/>
              </w:rPr>
            </w:pPr>
            <w:r>
              <w:rPr>
                <w:rFonts w:ascii="Calibri" w:eastAsia="Calibri" w:hAnsi="Calibri" w:cs="Calibri"/>
              </w:rPr>
              <w:lastRenderedPageBreak/>
              <w:t>Les formulaires standardisés sont utilisés par tous les partenaires de mise en oeuvre</w:t>
            </w:r>
          </w:p>
        </w:tc>
        <w:tc>
          <w:tcPr>
            <w:tcW w:w="5895" w:type="dxa"/>
            <w:tcBorders>
              <w:top w:val="single" w:sz="4" w:space="0" w:color="000001"/>
              <w:bottom w:val="single" w:sz="4" w:space="0" w:color="000001"/>
            </w:tcBorders>
            <w:shd w:val="clear" w:color="auto" w:fill="FFFFFF"/>
          </w:tcPr>
          <w:p w14:paraId="16796845" w14:textId="77777777" w:rsidR="003D4C2F" w:rsidRDefault="00000000">
            <w:pPr>
              <w:spacing w:line="276" w:lineRule="auto"/>
              <w:rPr>
                <w:rFonts w:ascii="Calibri" w:eastAsia="Calibri" w:hAnsi="Calibri" w:cs="Calibri"/>
              </w:rPr>
            </w:pPr>
            <w:r>
              <w:rPr>
                <w:rFonts w:ascii="Calibri" w:eastAsia="Calibri" w:hAnsi="Calibri" w:cs="Calibri"/>
              </w:rPr>
              <w:t>Les formulaires standard Interagence sont facilement accessibles, traduits dans toutes les langues pertinentes et distribués en temps utile</w:t>
            </w:r>
          </w:p>
        </w:tc>
      </w:tr>
      <w:tr w:rsidR="003D4C2F" w14:paraId="633DA645" w14:textId="77777777">
        <w:trPr>
          <w:trHeight w:val="2375"/>
        </w:trPr>
        <w:tc>
          <w:tcPr>
            <w:tcW w:w="3495" w:type="dxa"/>
            <w:tcBorders>
              <w:bottom w:val="single" w:sz="4" w:space="0" w:color="000001"/>
            </w:tcBorders>
            <w:shd w:val="clear" w:color="auto" w:fill="D4DEE8"/>
          </w:tcPr>
          <w:p w14:paraId="3FF3EF31" w14:textId="77777777" w:rsidR="003D4C2F" w:rsidRDefault="00000000">
            <w:pPr>
              <w:spacing w:line="276" w:lineRule="auto"/>
              <w:rPr>
                <w:rFonts w:ascii="Calibri" w:eastAsia="Calibri" w:hAnsi="Calibri" w:cs="Calibri"/>
              </w:rPr>
            </w:pPr>
            <w:r>
              <w:rPr>
                <w:rFonts w:ascii="Calibri" w:eastAsia="Calibri" w:hAnsi="Calibri" w:cs="Calibri"/>
              </w:rPr>
              <w:t>La prestation de service  et la cartographie des services le long des routes clés et aux points de passage frontaliers sont assurés pour les populations traversant les frontières internationales.</w:t>
            </w:r>
          </w:p>
        </w:tc>
        <w:tc>
          <w:tcPr>
            <w:tcW w:w="5895" w:type="dxa"/>
            <w:tcBorders>
              <w:bottom w:val="single" w:sz="4" w:space="0" w:color="000001"/>
            </w:tcBorders>
            <w:shd w:val="clear" w:color="auto" w:fill="FFFFFF"/>
          </w:tcPr>
          <w:p w14:paraId="0C2BF522" w14:textId="77777777" w:rsidR="003D4C2F" w:rsidRDefault="00000000">
            <w:pPr>
              <w:numPr>
                <w:ilvl w:val="0"/>
                <w:numId w:val="2"/>
              </w:numPr>
              <w:pBdr>
                <w:top w:val="nil"/>
                <w:left w:val="nil"/>
                <w:bottom w:val="nil"/>
                <w:right w:val="nil"/>
                <w:between w:val="nil"/>
              </w:pBdr>
              <w:spacing w:line="276" w:lineRule="auto"/>
              <w:ind w:left="716" w:firstLine="0"/>
              <w:rPr>
                <w:rFonts w:ascii="Calibri" w:eastAsia="Calibri" w:hAnsi="Calibri" w:cs="Calibri"/>
                <w:color w:val="000000"/>
              </w:rPr>
            </w:pPr>
            <w:r>
              <w:rPr>
                <w:rFonts w:ascii="Calibri" w:eastAsia="Calibri" w:hAnsi="Calibri" w:cs="Calibri"/>
                <w:color w:val="000000"/>
              </w:rPr>
              <w:t xml:space="preserve">Des informations sont fournies aux populations en </w:t>
            </w:r>
            <w:r>
              <w:rPr>
                <w:rFonts w:ascii="Calibri" w:eastAsia="Calibri" w:hAnsi="Calibri" w:cs="Calibri"/>
              </w:rPr>
              <w:t xml:space="preserve">mouvement </w:t>
            </w:r>
            <w:r>
              <w:rPr>
                <w:rFonts w:ascii="Calibri" w:eastAsia="Calibri" w:hAnsi="Calibri" w:cs="Calibri"/>
                <w:color w:val="000000"/>
              </w:rPr>
              <w:t>sur les services disponibles « en cours de route », y compris sur la manière d</w:t>
            </w:r>
            <w:r>
              <w:rPr>
                <w:rFonts w:ascii="Calibri" w:eastAsia="Calibri" w:hAnsi="Calibri" w:cs="Calibri"/>
              </w:rPr>
              <w:t>’</w:t>
            </w:r>
            <w:r>
              <w:rPr>
                <w:rFonts w:ascii="Calibri" w:eastAsia="Calibri" w:hAnsi="Calibri" w:cs="Calibri"/>
                <w:color w:val="000000"/>
              </w:rPr>
              <w:t>accéder aux services de recherche familiale.</w:t>
            </w:r>
          </w:p>
          <w:p w14:paraId="0D67D406" w14:textId="77777777" w:rsidR="003D4C2F" w:rsidRDefault="00000000">
            <w:pPr>
              <w:numPr>
                <w:ilvl w:val="0"/>
                <w:numId w:val="2"/>
              </w:numPr>
              <w:pBdr>
                <w:top w:val="nil"/>
                <w:left w:val="nil"/>
                <w:bottom w:val="nil"/>
                <w:right w:val="nil"/>
                <w:between w:val="nil"/>
              </w:pBdr>
              <w:spacing w:line="276" w:lineRule="auto"/>
              <w:ind w:left="716" w:firstLine="0"/>
              <w:rPr>
                <w:rFonts w:ascii="Calibri" w:eastAsia="Calibri" w:hAnsi="Calibri" w:cs="Calibri"/>
                <w:color w:val="000000"/>
              </w:rPr>
            </w:pPr>
            <w:r>
              <w:rPr>
                <w:rFonts w:ascii="Calibri" w:eastAsia="Calibri" w:hAnsi="Calibri" w:cs="Calibri"/>
                <w:color w:val="000000"/>
              </w:rPr>
              <w:t xml:space="preserve">La capacité d'identification rapide,  de documentation, de recherche, de vérification et de réunification est développée (si nécessaire) dans les camps/les camps informels/les centres collectifs situés à proximité des points de passage frontaliers afin de faciliter le regroupement lorsque les familles attendent l'arrivée de leurs enfants (ou vice versa).  </w:t>
            </w:r>
          </w:p>
        </w:tc>
      </w:tr>
      <w:tr w:rsidR="003D4C2F" w14:paraId="534E57C7" w14:textId="77777777">
        <w:trPr>
          <w:trHeight w:val="2645"/>
        </w:trPr>
        <w:tc>
          <w:tcPr>
            <w:tcW w:w="3495" w:type="dxa"/>
            <w:tcBorders>
              <w:bottom w:val="single" w:sz="4" w:space="0" w:color="000001"/>
            </w:tcBorders>
            <w:shd w:val="clear" w:color="auto" w:fill="D4DEE8"/>
          </w:tcPr>
          <w:p w14:paraId="4F2098D4" w14:textId="77777777" w:rsidR="003D4C2F" w:rsidRDefault="00000000">
            <w:pPr>
              <w:spacing w:line="276" w:lineRule="auto"/>
              <w:rPr>
                <w:rFonts w:ascii="Calibri" w:eastAsia="Calibri" w:hAnsi="Calibri" w:cs="Calibri"/>
              </w:rPr>
            </w:pPr>
            <w:r>
              <w:rPr>
                <w:rFonts w:ascii="Calibri" w:eastAsia="Calibri" w:hAnsi="Calibri" w:cs="Calibri"/>
              </w:rPr>
              <w:t>Des  formations régulières et continues  soutiennent les bonnes pratiques et favorisent  l'engagement de tous les programmes nationaux.</w:t>
            </w:r>
          </w:p>
        </w:tc>
        <w:tc>
          <w:tcPr>
            <w:tcW w:w="5895" w:type="dxa"/>
            <w:tcBorders>
              <w:bottom w:val="single" w:sz="4" w:space="0" w:color="000001"/>
            </w:tcBorders>
            <w:shd w:val="clear" w:color="auto" w:fill="FFFFFF"/>
          </w:tcPr>
          <w:p w14:paraId="3093EF35" w14:textId="77777777" w:rsidR="003D4C2F" w:rsidRDefault="00000000">
            <w:pPr>
              <w:numPr>
                <w:ilvl w:val="0"/>
                <w:numId w:val="3"/>
              </w:numPr>
              <w:pBdr>
                <w:top w:val="nil"/>
                <w:left w:val="nil"/>
                <w:bottom w:val="nil"/>
                <w:right w:val="nil"/>
                <w:between w:val="nil"/>
              </w:pBdr>
              <w:spacing w:line="276" w:lineRule="auto"/>
              <w:ind w:left="716" w:firstLine="0"/>
              <w:rPr>
                <w:rFonts w:ascii="Calibri" w:eastAsia="Calibri" w:hAnsi="Calibri" w:cs="Calibri"/>
                <w:color w:val="000000"/>
              </w:rPr>
            </w:pPr>
            <w:r>
              <w:rPr>
                <w:rFonts w:ascii="Calibri" w:eastAsia="Calibri" w:hAnsi="Calibri" w:cs="Calibri"/>
                <w:color w:val="000000"/>
              </w:rPr>
              <w:t xml:space="preserve">Les formations </w:t>
            </w:r>
            <w:r>
              <w:rPr>
                <w:rFonts w:ascii="Calibri" w:eastAsia="Calibri" w:hAnsi="Calibri" w:cs="Calibri"/>
              </w:rPr>
              <w:t xml:space="preserve">tournantes </w:t>
            </w:r>
            <w:r>
              <w:rPr>
                <w:rFonts w:ascii="Calibri" w:eastAsia="Calibri" w:hAnsi="Calibri" w:cs="Calibri"/>
                <w:color w:val="000000"/>
              </w:rPr>
              <w:t xml:space="preserve">et </w:t>
            </w:r>
            <w:r>
              <w:rPr>
                <w:rFonts w:ascii="Calibri" w:eastAsia="Calibri" w:hAnsi="Calibri" w:cs="Calibri"/>
              </w:rPr>
              <w:t>d</w:t>
            </w:r>
            <w:r>
              <w:rPr>
                <w:rFonts w:ascii="Calibri" w:eastAsia="Calibri" w:hAnsi="Calibri" w:cs="Calibri"/>
                <w:color w:val="000000"/>
              </w:rPr>
              <w:t xml:space="preserve">es échanges de programmes favorisent une approche « </w:t>
            </w:r>
            <w:r>
              <w:rPr>
                <w:rFonts w:ascii="Calibri" w:eastAsia="Calibri" w:hAnsi="Calibri" w:cs="Calibri"/>
              </w:rPr>
              <w:t>programme complet</w:t>
            </w:r>
            <w:r>
              <w:rPr>
                <w:rFonts w:ascii="Calibri" w:eastAsia="Calibri" w:hAnsi="Calibri" w:cs="Calibri"/>
                <w:color w:val="000000"/>
              </w:rPr>
              <w:t>» et facilitent l'échange d'idées et la compréhension des défis propres à chaque contexte.</w:t>
            </w:r>
          </w:p>
          <w:p w14:paraId="364C9733" w14:textId="77777777" w:rsidR="003D4C2F" w:rsidRDefault="00000000">
            <w:pPr>
              <w:numPr>
                <w:ilvl w:val="0"/>
                <w:numId w:val="3"/>
              </w:numPr>
              <w:pBdr>
                <w:top w:val="nil"/>
                <w:left w:val="nil"/>
                <w:bottom w:val="nil"/>
                <w:right w:val="nil"/>
                <w:between w:val="nil"/>
              </w:pBdr>
              <w:spacing w:line="276" w:lineRule="auto"/>
              <w:ind w:left="716" w:firstLine="0"/>
              <w:rPr>
                <w:rFonts w:ascii="Calibri" w:eastAsia="Calibri" w:hAnsi="Calibri" w:cs="Calibri"/>
                <w:color w:val="000000"/>
              </w:rPr>
            </w:pPr>
            <w:r>
              <w:rPr>
                <w:rFonts w:ascii="Calibri" w:eastAsia="Calibri" w:hAnsi="Calibri" w:cs="Calibri"/>
                <w:color w:val="000000"/>
              </w:rPr>
              <w:t xml:space="preserve">Les formations réunissent les gestionnaires de cas/le personnel des programmes de chaque pays et impliquent </w:t>
            </w:r>
            <w:r>
              <w:rPr>
                <w:rFonts w:ascii="Calibri" w:eastAsia="Calibri" w:hAnsi="Calibri" w:cs="Calibri"/>
              </w:rPr>
              <w:t xml:space="preserve">un large éventail </w:t>
            </w:r>
            <w:r>
              <w:rPr>
                <w:rFonts w:ascii="Calibri" w:eastAsia="Calibri" w:hAnsi="Calibri" w:cs="Calibri"/>
                <w:color w:val="000000"/>
              </w:rPr>
              <w:t>d'organisations/d'acteurs.</w:t>
            </w:r>
          </w:p>
          <w:p w14:paraId="33515C4A" w14:textId="77777777" w:rsidR="003D4C2F" w:rsidRDefault="00000000">
            <w:pPr>
              <w:numPr>
                <w:ilvl w:val="0"/>
                <w:numId w:val="3"/>
              </w:numPr>
              <w:pBdr>
                <w:top w:val="nil"/>
                <w:left w:val="nil"/>
                <w:bottom w:val="nil"/>
                <w:right w:val="nil"/>
                <w:between w:val="nil"/>
              </w:pBdr>
              <w:spacing w:line="276" w:lineRule="auto"/>
              <w:ind w:left="716" w:firstLine="0"/>
              <w:rPr>
                <w:rFonts w:ascii="Calibri" w:eastAsia="Calibri" w:hAnsi="Calibri" w:cs="Calibri"/>
                <w:color w:val="000000"/>
              </w:rPr>
            </w:pPr>
            <w:r>
              <w:rPr>
                <w:rFonts w:ascii="Calibri" w:eastAsia="Calibri" w:hAnsi="Calibri" w:cs="Calibri"/>
                <w:color w:val="000000"/>
              </w:rPr>
              <w:t>Un système de mentorat est utilisé pour soutenir les gestionnaires de cas qui sont régulièrement supervisés</w:t>
            </w:r>
          </w:p>
        </w:tc>
      </w:tr>
      <w:tr w:rsidR="003D4C2F" w14:paraId="40C7CA53" w14:textId="77777777">
        <w:trPr>
          <w:trHeight w:val="1835"/>
        </w:trPr>
        <w:tc>
          <w:tcPr>
            <w:tcW w:w="3495" w:type="dxa"/>
            <w:tcBorders>
              <w:bottom w:val="single" w:sz="4" w:space="0" w:color="000001"/>
            </w:tcBorders>
            <w:shd w:val="clear" w:color="auto" w:fill="D4DEE8"/>
          </w:tcPr>
          <w:p w14:paraId="7F8A3F69" w14:textId="77777777" w:rsidR="003D4C2F" w:rsidRDefault="00000000">
            <w:pPr>
              <w:spacing w:line="276" w:lineRule="auto"/>
              <w:rPr>
                <w:rFonts w:ascii="Calibri" w:eastAsia="Calibri" w:hAnsi="Calibri" w:cs="Calibri"/>
              </w:rPr>
            </w:pPr>
            <w:r>
              <w:rPr>
                <w:rFonts w:ascii="Calibri" w:eastAsia="Calibri" w:hAnsi="Calibri" w:cs="Calibri"/>
              </w:rPr>
              <w:t>Les aspects  opérationnels  quotidiens du rétablissement des liens familiaux sont efficacement soutenus</w:t>
            </w:r>
          </w:p>
          <w:p w14:paraId="75AFA257" w14:textId="77777777" w:rsidR="003D4C2F" w:rsidRDefault="003D4C2F">
            <w:pPr>
              <w:spacing w:line="276" w:lineRule="auto"/>
              <w:rPr>
                <w:rFonts w:ascii="Calibri" w:eastAsia="Calibri" w:hAnsi="Calibri" w:cs="Calibri"/>
              </w:rPr>
            </w:pPr>
          </w:p>
        </w:tc>
        <w:tc>
          <w:tcPr>
            <w:tcW w:w="5895" w:type="dxa"/>
            <w:tcBorders>
              <w:bottom w:val="single" w:sz="4" w:space="0" w:color="000001"/>
            </w:tcBorders>
            <w:shd w:val="clear" w:color="auto" w:fill="FFFFFF"/>
          </w:tcPr>
          <w:p w14:paraId="6DF3E5E7" w14:textId="77777777" w:rsidR="003D4C2F" w:rsidRDefault="00000000">
            <w:pPr>
              <w:pBdr>
                <w:top w:val="nil"/>
                <w:left w:val="nil"/>
                <w:bottom w:val="nil"/>
                <w:right w:val="nil"/>
                <w:between w:val="nil"/>
              </w:pBdr>
              <w:spacing w:after="0" w:line="276" w:lineRule="auto"/>
              <w:rPr>
                <w:rFonts w:ascii="Calibri" w:eastAsia="Calibri" w:hAnsi="Calibri" w:cs="Calibri"/>
              </w:rPr>
            </w:pPr>
            <w:bookmarkStart w:id="0" w:name="bookmark=id.ys1n2qtx7bq0" w:colFirst="0" w:colLast="0"/>
            <w:bookmarkEnd w:id="0"/>
            <w:r>
              <w:rPr>
                <w:rFonts w:ascii="Calibri" w:eastAsia="Calibri" w:hAnsi="Calibri" w:cs="Calibri"/>
                <w:color w:val="1F1F1F"/>
              </w:rPr>
              <w:t>Un agent de liaison transfrontalier pourrait être nommé avec la responsabilité exclusive d’assurer le soutien opérationnel quotidien et le suivi des aspects transfrontaliers du programme, comme veiller à l'efficacité des échanges d'informations, s’assurer que les actions de suivi sont menées à bien, consigner les  mouvements d'enfants, etc.</w:t>
            </w:r>
          </w:p>
        </w:tc>
      </w:tr>
      <w:tr w:rsidR="003D4C2F" w14:paraId="79A3DC1E" w14:textId="77777777">
        <w:trPr>
          <w:trHeight w:val="1027"/>
        </w:trPr>
        <w:tc>
          <w:tcPr>
            <w:tcW w:w="3495" w:type="dxa"/>
            <w:tcBorders>
              <w:top w:val="single" w:sz="4" w:space="0" w:color="000001"/>
              <w:bottom w:val="single" w:sz="4" w:space="0" w:color="000001"/>
            </w:tcBorders>
            <w:shd w:val="clear" w:color="auto" w:fill="D4DEE8"/>
          </w:tcPr>
          <w:p w14:paraId="4BA9B249" w14:textId="77777777" w:rsidR="003D4C2F" w:rsidRDefault="00000000">
            <w:pPr>
              <w:spacing w:line="276" w:lineRule="auto"/>
              <w:rPr>
                <w:rFonts w:ascii="Calibri" w:eastAsia="Calibri" w:hAnsi="Calibri" w:cs="Calibri"/>
              </w:rPr>
            </w:pPr>
            <w:r>
              <w:rPr>
                <w:rFonts w:ascii="Calibri" w:eastAsia="Calibri" w:hAnsi="Calibri" w:cs="Calibri"/>
              </w:rPr>
              <w:t xml:space="preserve">ENAS, les personnes qui s’occupent d’eux et  leurs familles sont pleinement informés et les systèmes existent pour assurer le suivi </w:t>
            </w:r>
          </w:p>
        </w:tc>
        <w:tc>
          <w:tcPr>
            <w:tcW w:w="5895" w:type="dxa"/>
            <w:tcBorders>
              <w:top w:val="single" w:sz="4" w:space="0" w:color="000001"/>
              <w:bottom w:val="single" w:sz="4" w:space="0" w:color="000001"/>
            </w:tcBorders>
            <w:shd w:val="clear" w:color="auto" w:fill="FFFFFF"/>
          </w:tcPr>
          <w:p w14:paraId="48297615" w14:textId="77777777" w:rsidR="003D4C2F" w:rsidRDefault="00000000">
            <w:pPr>
              <w:numPr>
                <w:ilvl w:val="1"/>
                <w:numId w:val="4"/>
              </w:numPr>
              <w:pBdr>
                <w:top w:val="nil"/>
                <w:left w:val="nil"/>
                <w:bottom w:val="nil"/>
                <w:right w:val="nil"/>
                <w:between w:val="nil"/>
              </w:pBdr>
              <w:spacing w:line="276" w:lineRule="auto"/>
              <w:ind w:left="716" w:firstLine="0"/>
              <w:rPr>
                <w:rFonts w:ascii="Calibri" w:eastAsia="Calibri" w:hAnsi="Calibri" w:cs="Calibri"/>
                <w:color w:val="000000"/>
              </w:rPr>
            </w:pPr>
            <w:r>
              <w:rPr>
                <w:rFonts w:ascii="Calibri" w:eastAsia="Calibri" w:hAnsi="Calibri" w:cs="Calibri"/>
                <w:color w:val="000000"/>
              </w:rPr>
              <w:t xml:space="preserve">Tous les ENAS enregistrés font l'objet d'un suivi régulier </w:t>
            </w:r>
            <w:r>
              <w:rPr>
                <w:rFonts w:ascii="Calibri" w:eastAsia="Calibri" w:hAnsi="Calibri" w:cs="Calibri"/>
              </w:rPr>
              <w:t>tant que la recherche de la famille est en cours</w:t>
            </w:r>
            <w:r>
              <w:rPr>
                <w:rFonts w:ascii="Calibri" w:eastAsia="Calibri" w:hAnsi="Calibri" w:cs="Calibri"/>
                <w:color w:val="000000"/>
              </w:rPr>
              <w:t xml:space="preserve"> (au moins tous les trois mois).</w:t>
            </w:r>
            <w:r>
              <w:rPr>
                <w:rFonts w:ascii="Calibri" w:eastAsia="Calibri" w:hAnsi="Calibri" w:cs="Calibri"/>
                <w:color w:val="000000"/>
              </w:rPr>
              <w:br/>
              <w:t xml:space="preserve">Lorsque les familles sont retrouvées, elles sont informées des procédures </w:t>
            </w:r>
            <w:r>
              <w:rPr>
                <w:rFonts w:ascii="Calibri" w:eastAsia="Calibri" w:hAnsi="Calibri" w:cs="Calibri"/>
              </w:rPr>
              <w:t xml:space="preserve">nécessaires </w:t>
            </w:r>
            <w:r>
              <w:rPr>
                <w:rFonts w:ascii="Calibri" w:eastAsia="Calibri" w:hAnsi="Calibri" w:cs="Calibri"/>
                <w:color w:val="000000"/>
              </w:rPr>
              <w:t>et des délais avant la réunification, afin d</w:t>
            </w:r>
            <w:r>
              <w:rPr>
                <w:rFonts w:ascii="Calibri" w:eastAsia="Calibri" w:hAnsi="Calibri" w:cs="Calibri"/>
              </w:rPr>
              <w:t>’</w:t>
            </w:r>
            <w:r>
              <w:rPr>
                <w:rFonts w:ascii="Calibri" w:eastAsia="Calibri" w:hAnsi="Calibri" w:cs="Calibri"/>
                <w:color w:val="000000"/>
              </w:rPr>
              <w:t xml:space="preserve">éviter que les enfants/membres de la famille ne </w:t>
            </w:r>
            <w:r>
              <w:rPr>
                <w:rFonts w:ascii="Calibri" w:eastAsia="Calibri" w:hAnsi="Calibri" w:cs="Calibri"/>
              </w:rPr>
              <w:t xml:space="preserve">deviennent </w:t>
            </w:r>
            <w:r>
              <w:rPr>
                <w:rFonts w:ascii="Calibri" w:eastAsia="Calibri" w:hAnsi="Calibri" w:cs="Calibri"/>
                <w:color w:val="000000"/>
              </w:rPr>
              <w:t xml:space="preserve">frustrés </w:t>
            </w:r>
            <w:r>
              <w:rPr>
                <w:rFonts w:ascii="Calibri" w:eastAsia="Calibri" w:hAnsi="Calibri" w:cs="Calibri"/>
                <w:color w:val="000000"/>
              </w:rPr>
              <w:lastRenderedPageBreak/>
              <w:t xml:space="preserve">ou que les enfants </w:t>
            </w:r>
            <w:r>
              <w:rPr>
                <w:rFonts w:ascii="Calibri" w:eastAsia="Calibri" w:hAnsi="Calibri" w:cs="Calibri"/>
              </w:rPr>
              <w:t xml:space="preserve">tentent </w:t>
            </w:r>
            <w:r>
              <w:rPr>
                <w:rFonts w:ascii="Calibri" w:eastAsia="Calibri" w:hAnsi="Calibri" w:cs="Calibri"/>
                <w:color w:val="000000"/>
              </w:rPr>
              <w:t xml:space="preserve">de rentrer chez eux par leurs propres moyens. Les enfants sont également informés de ce qu'ils doivent faire s'ils décident de se rendre dans un autre </w:t>
            </w:r>
            <w:r>
              <w:rPr>
                <w:rFonts w:ascii="Calibri" w:eastAsia="Calibri" w:hAnsi="Calibri" w:cs="Calibri"/>
              </w:rPr>
              <w:t>lieu</w:t>
            </w:r>
            <w:r>
              <w:rPr>
                <w:rFonts w:ascii="Calibri" w:eastAsia="Calibri" w:hAnsi="Calibri" w:cs="Calibri"/>
                <w:color w:val="000000"/>
              </w:rPr>
              <w:t>.</w:t>
            </w:r>
          </w:p>
        </w:tc>
      </w:tr>
    </w:tbl>
    <w:p w14:paraId="1E405899" w14:textId="77777777" w:rsidR="003D4C2F" w:rsidRDefault="003D4C2F">
      <w:pPr>
        <w:spacing w:line="240" w:lineRule="auto"/>
      </w:pPr>
    </w:p>
    <w:sectPr w:rsidR="003D4C2F">
      <w:headerReference w:type="default" r:id="rId8"/>
      <w:pgSz w:w="12240" w:h="15840"/>
      <w:pgMar w:top="1440" w:right="1440" w:bottom="1440" w:left="1440" w:header="72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26FFDF" w14:textId="77777777" w:rsidR="003E0643" w:rsidRDefault="003E0643">
      <w:pPr>
        <w:spacing w:after="0" w:line="240" w:lineRule="auto"/>
      </w:pPr>
      <w:r>
        <w:separator/>
      </w:r>
    </w:p>
  </w:endnote>
  <w:endnote w:type="continuationSeparator" w:id="0">
    <w:p w14:paraId="09A20B9F" w14:textId="77777777" w:rsidR="003E0643" w:rsidRDefault="003E06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40CD012D-C196-754E-801C-AFB71EF19B25}"/>
  </w:font>
  <w:font w:name="Courier New">
    <w:panose1 w:val="02070309020205020404"/>
    <w:charset w:val="00"/>
    <w:family w:val="modern"/>
    <w:pitch w:val="fixed"/>
    <w:sig w:usb0="E0002AFF" w:usb1="C0007843" w:usb2="00000009" w:usb3="00000000" w:csb0="000001FF" w:csb1="00000000"/>
    <w:embedRegular r:id="rId2" w:fontKey="{5490C4D0-0757-4348-BFB0-47D0C2D68C99}"/>
  </w:font>
  <w:font w:name="Calibri">
    <w:panose1 w:val="020F0502020204030204"/>
    <w:charset w:val="00"/>
    <w:family w:val="swiss"/>
    <w:pitch w:val="variable"/>
    <w:sig w:usb0="E0002AFF" w:usb1="C000247B" w:usb2="00000009" w:usb3="00000000" w:csb0="000001FF" w:csb1="00000000"/>
    <w:embedRegular r:id="rId3" w:fontKey="{77471018-0A8B-5343-945C-774C02596E6A}"/>
    <w:embedBold r:id="rId4" w:fontKey="{971677DA-4BC3-0345-94FC-FBD4C82790B2}"/>
    <w:embedItalic r:id="rId5" w:fontKey="{B7370D06-2DDB-9A46-BDE0-7ADB503D931B}"/>
    <w:embedBoldItalic r:id="rId6" w:fontKey="{B8418110-59AB-9C4B-B2CE-D2A20EBBFCE7}"/>
  </w:font>
  <w:font w:name="Helvetica Neue Light">
    <w:panose1 w:val="02000403000000020004"/>
    <w:charset w:val="00"/>
    <w:family w:val="auto"/>
    <w:pitch w:val="variable"/>
    <w:sig w:usb0="A00002FF" w:usb1="5000205B" w:usb2="00000002" w:usb3="00000000" w:csb0="00000007" w:csb1="00000000"/>
    <w:embedBold r:id="rId8" w:fontKey="{8C6E513F-4758-B344-87D0-195DA1B1BBFB}"/>
    <w:embedBoldItalic r:id="rId10" w:fontKey="{F3902A22-5E3F-2448-91A9-7BC6FEAA15DC}"/>
  </w:font>
  <w:font w:name="Arial">
    <w:panose1 w:val="020B0604020202020204"/>
    <w:charset w:val="00"/>
    <w:family w:val="swiss"/>
    <w:pitch w:val="variable"/>
    <w:sig w:usb0="E0002EFF" w:usb1="C000785B" w:usb2="00000009" w:usb3="00000000" w:csb0="000001FF" w:csb1="00000000"/>
    <w:embedRegular r:id="rId11" w:fontKey="{A6D43D66-2968-0845-BD89-FAE93B53BE95}"/>
    <w:embedBold r:id="rId12" w:fontKey="{1DFE13ED-3247-6E4D-A0B0-72EB8DB27076}"/>
  </w:font>
  <w:font w:name="Times New Roman (Headings CS)">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embedRegular r:id="rId16" w:fontKey="{D6237F75-CFCF-ED40-B0A5-DD0684B72B13}"/>
    <w:embedBold r:id="rId17" w:fontKey="{2211885A-C588-6742-9B64-AF436C19425B}"/>
    <w:embedItalic r:id="rId18" w:fontKey="{F2329981-A3E5-C046-9CD2-B86D0615DA98}"/>
    <w:embedBoldItalic r:id="rId19" w:fontKey="{63DC21BC-91B6-8E41-AF56-7073DA681C26}"/>
  </w:font>
  <w:font w:name="Calibri Light">
    <w:panose1 w:val="020F0302020204030204"/>
    <w:charset w:val="00"/>
    <w:family w:val="swiss"/>
    <w:pitch w:val="variable"/>
    <w:sig w:usb0="E0002AFF" w:usb1="C000247B" w:usb2="00000009" w:usb3="00000000" w:csb0="000001FF" w:csb1="00000000"/>
    <w:embedRegular r:id="rId20" w:fontKey="{10AB9409-731D-AC46-8A0A-EE04563B7BA6}"/>
    <w:embedBold r:id="rId21" w:fontKey="{7D3FC7C5-2DF2-A342-9C13-FD1265E549A3}"/>
    <w:embedBoldItalic r:id="rId22" w:fontKey="{61C17B35-EEC6-A74A-ABB9-BF6F0E5A2B81}"/>
  </w:font>
  <w:font w:name="Helvetica Neue Medium">
    <w:panose1 w:val="020B0604020202020204"/>
    <w:charset w:val="4D"/>
    <w:family w:val="swiss"/>
    <w:pitch w:val="variable"/>
    <w:sig w:usb0="A00002FF" w:usb1="5000205B" w:usb2="00000002" w:usb3="00000000" w:csb0="0000009B" w:csb1="00000000"/>
    <w:embedBold r:id="rId23" w:fontKey="{FEBC10E7-1351-4A4E-A5D4-4E2389BE662A}"/>
  </w:font>
  <w:font w:name="OpenSymbol">
    <w:altName w:val="Cambria"/>
    <w:panose1 w:val="020B0604020202020204"/>
    <w:charset w:val="00"/>
    <w:family w:val="roman"/>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embedRegular r:id="rId25" w:fontKey="{3B9E7B81-9035-F847-89F2-6AB6E4C3307C}"/>
    <w:embedBold r:id="rId26" w:fontKey="{13CDD43B-1E5E-064F-B3C3-6BBDE544948F}"/>
    <w:embedItalic r:id="rId27" w:fontKey="{194658AB-C90D-AB4C-9CA0-1E5227C2FC8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1A5AF9" w14:textId="77777777" w:rsidR="003E0643" w:rsidRDefault="003E0643">
      <w:pPr>
        <w:spacing w:after="0" w:line="240" w:lineRule="auto"/>
      </w:pPr>
      <w:r>
        <w:separator/>
      </w:r>
    </w:p>
  </w:footnote>
  <w:footnote w:type="continuationSeparator" w:id="0">
    <w:p w14:paraId="027E69EF" w14:textId="77777777" w:rsidR="003E0643" w:rsidRDefault="003E06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9E117C" w14:textId="70E08DBD" w:rsidR="003D4C2F" w:rsidRDefault="0007379F">
    <w:pPr>
      <w:tabs>
        <w:tab w:val="center" w:pos="4513"/>
        <w:tab w:val="right" w:pos="9026"/>
      </w:tabs>
      <w:spacing w:after="0" w:line="240" w:lineRule="auto"/>
      <w:rPr>
        <w:rFonts w:ascii="Calibri" w:eastAsia="Calibri" w:hAnsi="Calibri" w:cs="Calibri"/>
        <w:color w:val="000000"/>
        <w:sz w:val="20"/>
        <w:szCs w:val="20"/>
      </w:rPr>
    </w:pPr>
    <w:r>
      <w:rPr>
        <w:rFonts w:ascii="Calibri" w:eastAsia="Calibri" w:hAnsi="Calibri" w:cs="Calibri"/>
        <w:noProof/>
        <w:color w:val="000000"/>
        <w:sz w:val="20"/>
        <w:szCs w:val="20"/>
      </w:rPr>
      <w:drawing>
        <wp:anchor distT="0" distB="0" distL="114300" distR="114300" simplePos="0" relativeHeight="251659264" behindDoc="1" locked="0" layoutInCell="1" allowOverlap="1" wp14:anchorId="53602FF1" wp14:editId="138CB057">
          <wp:simplePos x="0" y="0"/>
          <wp:positionH relativeFrom="column">
            <wp:posOffset>4654879</wp:posOffset>
          </wp:positionH>
          <wp:positionV relativeFrom="paragraph">
            <wp:posOffset>-457200</wp:posOffset>
          </wp:positionV>
          <wp:extent cx="2202514" cy="836579"/>
          <wp:effectExtent l="0" t="0" r="0" b="0"/>
          <wp:wrapNone/>
          <wp:docPr id="1237841088"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841088"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207636" cy="838525"/>
                  </a:xfrm>
                  <a:prstGeom prst="rect">
                    <a:avLst/>
                  </a:prstGeom>
                </pic:spPr>
              </pic:pic>
            </a:graphicData>
          </a:graphic>
          <wp14:sizeRelH relativeFrom="page">
            <wp14:pctWidth>0</wp14:pctWidth>
          </wp14:sizeRelH>
          <wp14:sizeRelV relativeFrom="page">
            <wp14:pctHeight>0</wp14:pctHeight>
          </wp14:sizeRelV>
        </wp:anchor>
      </w:drawing>
    </w:r>
    <w:r w:rsidR="00000000">
      <w:rPr>
        <w:rFonts w:ascii="Calibri" w:eastAsia="Calibri" w:hAnsi="Calibri" w:cs="Calibri"/>
        <w:sz w:val="20"/>
        <w:szCs w:val="20"/>
      </w:rPr>
      <w:t xml:space="preserve">Formation des Formateurs sur les </w:t>
    </w:r>
    <w:r w:rsidR="00000000">
      <w:rPr>
        <w:rFonts w:ascii="Calibri" w:eastAsia="Calibri" w:hAnsi="Calibri" w:cs="Calibri"/>
        <w:color w:val="000000"/>
        <w:sz w:val="20"/>
        <w:szCs w:val="20"/>
      </w:rPr>
      <w:t xml:space="preserve">ENAS </w:t>
    </w:r>
  </w:p>
  <w:p w14:paraId="5C11A2EE" w14:textId="77777777" w:rsidR="003D4C2F" w:rsidRDefault="00000000">
    <w:pPr>
      <w:tabs>
        <w:tab w:val="center" w:pos="4513"/>
        <w:tab w:val="right" w:pos="9026"/>
      </w:tabs>
      <w:spacing w:after="0" w:line="240" w:lineRule="auto"/>
      <w:rPr>
        <w:rFonts w:ascii="Calibri" w:eastAsia="Calibri" w:hAnsi="Calibri" w:cs="Calibri"/>
        <w:color w:val="000000"/>
        <w:sz w:val="20"/>
        <w:szCs w:val="20"/>
      </w:rPr>
    </w:pPr>
    <w:r>
      <w:rPr>
        <w:rFonts w:ascii="Calibri" w:eastAsia="Calibri" w:hAnsi="Calibri" w:cs="Calibri"/>
        <w:color w:val="000000"/>
        <w:sz w:val="20"/>
        <w:szCs w:val="20"/>
      </w:rPr>
      <w:t xml:space="preserve">Module 3.4 – </w:t>
    </w:r>
    <w:r>
      <w:rPr>
        <w:rFonts w:ascii="Calibri" w:eastAsia="Calibri" w:hAnsi="Calibri" w:cs="Calibri"/>
        <w:sz w:val="20"/>
        <w:szCs w:val="20"/>
      </w:rPr>
      <w:t>Composantes de la Recherche</w:t>
    </w:r>
    <w:r>
      <w:rPr>
        <w:rFonts w:ascii="Calibri" w:eastAsia="Calibri" w:hAnsi="Calibri" w:cs="Calibri"/>
        <w:color w:val="000000"/>
        <w:sz w:val="20"/>
        <w:szCs w:val="20"/>
      </w:rPr>
      <w:t xml:space="preserve"> transfrontali</w:t>
    </w:r>
    <w:r>
      <w:rPr>
        <w:rFonts w:ascii="Calibri" w:eastAsia="Calibri" w:hAnsi="Calibri" w:cs="Calibri"/>
        <w:sz w:val="20"/>
        <w:szCs w:val="20"/>
      </w:rPr>
      <w:t>ère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945BBC"/>
    <w:multiLevelType w:val="multilevel"/>
    <w:tmpl w:val="0F163458"/>
    <w:lvl w:ilvl="0">
      <w:start w:val="1"/>
      <w:numFmt w:val="bullet"/>
      <w:lvlText w:val="●"/>
      <w:lvlJc w:val="left"/>
      <w:pPr>
        <w:ind w:left="1080" w:hanging="360"/>
      </w:pPr>
      <w:rPr>
        <w:rFonts w:ascii="Noto Sans Symbols" w:eastAsia="Noto Sans Symbols" w:hAnsi="Noto Sans Symbols" w:cs="Noto Sans Symbols"/>
        <w:color w:val="0070C0"/>
        <w:sz w:val="22"/>
        <w:szCs w:val="22"/>
      </w:rPr>
    </w:lvl>
    <w:lvl w:ilvl="1">
      <w:start w:val="1"/>
      <w:numFmt w:val="bullet"/>
      <w:lvlText w:val="●"/>
      <w:lvlJc w:val="left"/>
      <w:pPr>
        <w:ind w:left="1080" w:hanging="360"/>
      </w:pPr>
      <w:rPr>
        <w:rFonts w:ascii="Noto Sans Symbols" w:eastAsia="Noto Sans Symbols" w:hAnsi="Noto Sans Symbols" w:cs="Noto Sans Symbols"/>
        <w:color w:val="0070C0"/>
        <w:sz w:val="22"/>
        <w:szCs w:val="22"/>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359419ED"/>
    <w:multiLevelType w:val="multilevel"/>
    <w:tmpl w:val="97A62E3C"/>
    <w:lvl w:ilvl="0">
      <w:start w:val="1"/>
      <w:numFmt w:val="bullet"/>
      <w:lvlText w:val="●"/>
      <w:lvlJc w:val="left"/>
      <w:pPr>
        <w:ind w:left="1080" w:hanging="360"/>
      </w:pPr>
      <w:rPr>
        <w:rFonts w:ascii="Noto Sans Symbols" w:eastAsia="Noto Sans Symbols" w:hAnsi="Noto Sans Symbols" w:cs="Noto Sans Symbols"/>
        <w:color w:val="0070C0"/>
        <w:sz w:val="22"/>
        <w:szCs w:val="22"/>
      </w:rPr>
    </w:lvl>
    <w:lvl w:ilvl="1">
      <w:start w:val="1"/>
      <w:numFmt w:val="bullet"/>
      <w:lvlText w:val="•"/>
      <w:lvlJc w:val="left"/>
      <w:pPr>
        <w:ind w:left="1800" w:hanging="360"/>
      </w:pPr>
      <w:rPr>
        <w:rFonts w:ascii="Calibri" w:eastAsia="Calibri" w:hAnsi="Calibri" w:cs="Calibri"/>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56605AB6"/>
    <w:multiLevelType w:val="multilevel"/>
    <w:tmpl w:val="9814CC1C"/>
    <w:lvl w:ilvl="0">
      <w:start w:val="1"/>
      <w:numFmt w:val="bullet"/>
      <w:lvlText w:val="●"/>
      <w:lvlJc w:val="left"/>
      <w:pPr>
        <w:ind w:left="1080" w:hanging="360"/>
      </w:pPr>
      <w:rPr>
        <w:rFonts w:ascii="Noto Sans Symbols" w:eastAsia="Noto Sans Symbols" w:hAnsi="Noto Sans Symbols" w:cs="Noto Sans Symbols"/>
        <w:color w:val="0070C0"/>
        <w:sz w:val="22"/>
        <w:szCs w:val="22"/>
      </w:rPr>
    </w:lvl>
    <w:lvl w:ilvl="1">
      <w:start w:val="1"/>
      <w:numFmt w:val="bullet"/>
      <w:lvlText w:val="•"/>
      <w:lvlJc w:val="left"/>
      <w:pPr>
        <w:ind w:left="1800" w:hanging="360"/>
      </w:pPr>
      <w:rPr>
        <w:rFonts w:ascii="Calibri" w:eastAsia="Calibri" w:hAnsi="Calibri" w:cs="Calibri"/>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75697BDA"/>
    <w:multiLevelType w:val="multilevel"/>
    <w:tmpl w:val="39BA2662"/>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79121787">
    <w:abstractNumId w:val="3"/>
  </w:num>
  <w:num w:numId="2" w16cid:durableId="628367109">
    <w:abstractNumId w:val="2"/>
  </w:num>
  <w:num w:numId="3" w16cid:durableId="1622177911">
    <w:abstractNumId w:val="1"/>
  </w:num>
  <w:num w:numId="4" w16cid:durableId="14272691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4C2F"/>
    <w:rsid w:val="0007379F"/>
    <w:rsid w:val="003D4C2F"/>
    <w:rsid w:val="003E0643"/>
    <w:rsid w:val="005A0368"/>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4:docId w14:val="0AC13FF0"/>
  <w15:docId w15:val="{904C1B34-359F-FF46-AB42-8E7F2A640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Light" w:eastAsia="Helvetica Neue Light" w:hAnsi="Helvetica Neue Light" w:cs="Helvetica Neue Light"/>
        <w:sz w:val="22"/>
        <w:szCs w:val="22"/>
        <w:lang w:val="en-GB" w:eastAsia="en-US" w:bidi="ar-SA"/>
      </w:rPr>
    </w:rPrDefault>
    <w:pPrDefault>
      <w:pPr>
        <w:spacing w:after="20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rFonts w:ascii="Calibri" w:eastAsia="Calibri" w:hAnsi="Calibri" w:cs="Calibri"/>
      <w:smallCaps/>
      <w:color w:val="0388C5"/>
      <w:sz w:val="40"/>
      <w:szCs w:val="40"/>
    </w:rPr>
  </w:style>
  <w:style w:type="paragraph" w:styleId="Heading2">
    <w:name w:val="heading 2"/>
    <w:basedOn w:val="Normal"/>
    <w:next w:val="Normal"/>
    <w:uiPriority w:val="9"/>
    <w:semiHidden/>
    <w:unhideWhenUsed/>
    <w:qFormat/>
    <w:pPr>
      <w:spacing w:after="120" w:line="240" w:lineRule="auto"/>
      <w:outlineLvl w:val="1"/>
    </w:pPr>
    <w:rPr>
      <w:rFonts w:ascii="Calibri" w:eastAsia="Calibri" w:hAnsi="Calibri" w:cs="Calibri"/>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rFonts w:ascii="Calibri" w:eastAsia="Calibri" w:hAnsi="Calibri" w:cs="Calibri"/>
      <w:b/>
      <w:bCs/>
      <w:color w:val="7F9EBB"/>
      <w:sz w:val="28"/>
      <w:szCs w:val="28"/>
    </w:rPr>
  </w:style>
  <w:style w:type="paragraph" w:styleId="Heading4">
    <w:name w:val="heading 4"/>
    <w:basedOn w:val="Normal"/>
    <w:next w:val="Normal"/>
    <w:uiPriority w:val="9"/>
    <w:semiHidden/>
    <w:unhideWhenUsed/>
    <w:qFormat/>
    <w:pPr>
      <w:keepNext/>
      <w:keepLines/>
      <w:spacing w:before="200" w:after="0"/>
      <w:outlineLvl w:val="3"/>
    </w:pPr>
    <w:rPr>
      <w:rFonts w:ascii="Calibri" w:eastAsia="Calibri" w:hAnsi="Calibri" w:cs="Calibri"/>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rFonts w:ascii="Calibri" w:eastAsia="Calibri" w:hAnsi="Calibri" w:cs="Calibri"/>
      <w:b/>
      <w:bCs/>
      <w:i/>
      <w:iCs/>
      <w:color w:val="000000"/>
    </w:rPr>
  </w:style>
  <w:style w:type="paragraph" w:styleId="Heading7">
    <w:name w:val="heading 7"/>
    <w:next w:val="BodyText"/>
    <w:qFormat/>
    <w:pPr>
      <w:widowControl w:val="0"/>
      <w:spacing w:line="276" w:lineRule="auto"/>
      <w:outlineLvl w:val="6"/>
    </w:pPr>
    <w:rPr>
      <w:rFonts w:ascii="Arial" w:eastAsia="Arial" w:hAnsi="Arial" w:cs="Arial"/>
      <w:color w:val="000000"/>
      <w:lang w:val="en"/>
    </w:rPr>
  </w:style>
  <w:style w:type="paragraph" w:styleId="Heading8">
    <w:name w:val="heading 8"/>
    <w:basedOn w:val="Heading9"/>
    <w:next w:val="BodyText"/>
    <w:qFormat/>
    <w:pPr>
      <w:pBdr>
        <w:top w:val="nil"/>
        <w:left w:val="nil"/>
        <w:bottom w:val="nil"/>
        <w:right w:val="nil"/>
      </w:pBdr>
      <w:spacing w:line="560" w:lineRule="exact"/>
      <w:outlineLvl w:val="7"/>
    </w:pPr>
    <w:rPr>
      <w:sz w:val="48"/>
      <w:szCs w:val="52"/>
    </w:rPr>
  </w:style>
  <w:style w:type="paragraph" w:styleId="Heading9">
    <w:name w:val="heading 9"/>
    <w:basedOn w:val="Normal"/>
    <w:next w:val="BodyText"/>
    <w:qFormat/>
    <w:pPr>
      <w:keepNext/>
      <w:keepLines/>
      <w:pBdr>
        <w:top w:val="single" w:sz="8" w:space="20" w:color="FFFFFF"/>
        <w:left w:val="single" w:sz="8" w:space="10" w:color="FFFFFF"/>
        <w:bottom w:val="single" w:sz="8" w:space="20" w:color="FFFFFF"/>
        <w:right w:val="single" w:sz="8" w:space="10" w:color="FFFFFF"/>
      </w:pBdr>
      <w:shd w:val="clear" w:color="auto" w:fill="FFFFFF"/>
      <w:spacing w:after="0" w:line="720" w:lineRule="exact"/>
      <w:ind w:left="720" w:right="720"/>
      <w:outlineLvl w:val="8"/>
    </w:pPr>
    <w:rPr>
      <w:rFonts w:ascii="Calibri" w:hAnsi="Calibri" w:cs="Times New Roman (Headings CS)"/>
      <w:iCs/>
      <w:color w:val="405D78"/>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rFonts w:ascii="Calibri" w:eastAsia="Calibri" w:hAnsi="Calibri" w:cs="Calibri"/>
      <w:b/>
      <w:bCs/>
      <w:color w:val="FFFFFF"/>
      <w:sz w:val="72"/>
      <w:szCs w:val="72"/>
    </w:rPr>
  </w:style>
  <w:style w:type="character" w:customStyle="1" w:styleId="HeaderChar">
    <w:name w:val="Header Char"/>
    <w:basedOn w:val="DefaultParagraphFont"/>
    <w:qFormat/>
    <w:rPr>
      <w:rFonts w:ascii="Helvetica Neue Light" w:eastAsia="Helvetica Neue Light" w:hAnsi="Helvetica Neue Light" w:cs="Helvetica Neue Light"/>
      <w:lang w:val="en-US"/>
    </w:rPr>
  </w:style>
  <w:style w:type="character" w:customStyle="1" w:styleId="FooterChar">
    <w:name w:val="Footer Char"/>
    <w:basedOn w:val="DefaultParagraphFont"/>
    <w:qFormat/>
    <w:rPr>
      <w:rFonts w:ascii="Helvetica Neue Light" w:eastAsia="Helvetica Neue Light" w:hAnsi="Helvetica Neue Light" w:cs="Helvetica Neue Light"/>
      <w:lang w:val="en-US"/>
    </w:rPr>
  </w:style>
  <w:style w:type="character" w:customStyle="1" w:styleId="Heading7Char">
    <w:name w:val="Heading 7 Char"/>
    <w:basedOn w:val="DefaultParagraphFont"/>
    <w:qFormat/>
    <w:rPr>
      <w:rFonts w:ascii="Helvetica Neue Light" w:eastAsia="Helvetica Neue Light" w:hAnsi="Helvetica Neue Light" w:cs="Helvetica Neue Light"/>
      <w:color w:val="000000"/>
      <w:lang w:val="en-US"/>
    </w:rPr>
  </w:style>
  <w:style w:type="character" w:customStyle="1" w:styleId="Heading8Char">
    <w:name w:val="Heading 8 Char"/>
    <w:basedOn w:val="DefaultParagraphFont"/>
    <w:qFormat/>
    <w:rPr>
      <w:rFonts w:ascii="Calibri" w:hAnsi="Calibri" w:cs="Times New Roman (Headings CS)"/>
      <w:iCs/>
      <w:color w:val="405D78"/>
      <w:sz w:val="48"/>
      <w:szCs w:val="52"/>
      <w:lang w:val="en-US"/>
    </w:rPr>
  </w:style>
  <w:style w:type="character" w:customStyle="1" w:styleId="Heading9Char">
    <w:name w:val="Heading 9 Char"/>
    <w:basedOn w:val="DefaultParagraphFont"/>
    <w:qFormat/>
    <w:rPr>
      <w:rFonts w:ascii="Calibri" w:hAnsi="Calibri" w:cs="Times New Roman (Headings CS)"/>
      <w:iCs/>
      <w:color w:val="405D78"/>
      <w:sz w:val="72"/>
      <w:szCs w:val="20"/>
      <w:lang w:val="en-US"/>
    </w:rPr>
  </w:style>
  <w:style w:type="character" w:customStyle="1" w:styleId="Heading1Char">
    <w:name w:val="Heading 1 Char"/>
    <w:basedOn w:val="DefaultParagraphFont"/>
    <w:qFormat/>
    <w:rPr>
      <w:rFonts w:ascii="Calibri Light" w:hAnsi="Calibri Light" w:cs="Times New Roman (Headings CS)"/>
      <w:bCs/>
      <w:caps/>
      <w:color w:val="0388C5"/>
      <w:sz w:val="40"/>
      <w:szCs w:val="40"/>
      <w:lang w:val="en-US"/>
    </w:rPr>
  </w:style>
  <w:style w:type="character" w:customStyle="1" w:styleId="Heading2Char">
    <w:name w:val="Heading 2 Char"/>
    <w:basedOn w:val="DefaultParagraphFont"/>
    <w:qFormat/>
    <w:rPr>
      <w:rFonts w:ascii="Calibri" w:eastAsia="Helvetica Neue Light" w:hAnsi="Calibri" w:cs="Helvetica Neue Light"/>
      <w:b/>
      <w:color w:val="405D78"/>
      <w:sz w:val="28"/>
      <w:szCs w:val="28"/>
      <w:lang w:val="en-US"/>
    </w:rPr>
  </w:style>
  <w:style w:type="character" w:customStyle="1" w:styleId="Heading3Char">
    <w:name w:val="Heading 3 Char"/>
    <w:basedOn w:val="DefaultParagraphFont"/>
    <w:qFormat/>
    <w:rPr>
      <w:rFonts w:ascii="Calibri" w:eastAsia="Helvetica Neue Light" w:hAnsi="Calibri" w:cs="Helvetica Neue Light"/>
      <w:b/>
      <w:color w:val="7F9EBB"/>
      <w:sz w:val="28"/>
      <w:szCs w:val="28"/>
      <w:lang w:val="en-US"/>
    </w:rPr>
  </w:style>
  <w:style w:type="character" w:customStyle="1" w:styleId="Heading4Char">
    <w:name w:val="Heading 4 Char"/>
    <w:basedOn w:val="DefaultParagraphFont"/>
    <w:qFormat/>
    <w:rPr>
      <w:rFonts w:ascii="Calibri Light" w:hAnsi="Calibri Light"/>
      <w:b/>
      <w:bCs/>
      <w:i/>
      <w:iCs/>
      <w:color w:val="405D78"/>
      <w:lang w:val="en-US"/>
    </w:rPr>
  </w:style>
  <w:style w:type="character" w:customStyle="1" w:styleId="Heading5Char">
    <w:name w:val="Heading 5 Char"/>
    <w:basedOn w:val="DefaultParagraphFont"/>
    <w:qFormat/>
    <w:rPr>
      <w:rFonts w:ascii="Helvetica Neue Light" w:hAnsi="Helvetica Neue Light" w:cs="Times New Roman (Headings CS)"/>
      <w:b/>
      <w:bCs/>
      <w:color w:val="FFFFFF"/>
      <w:sz w:val="26"/>
      <w:lang w:val="en-US"/>
    </w:rPr>
  </w:style>
  <w:style w:type="character" w:customStyle="1" w:styleId="Heading6Char">
    <w:name w:val="Heading 6 Char"/>
    <w:basedOn w:val="DefaultParagraphFont"/>
    <w:qFormat/>
    <w:rPr>
      <w:rFonts w:ascii="Calibri" w:hAnsi="Calibri"/>
      <w:b/>
      <w:bCs/>
      <w:i/>
      <w:iCs/>
      <w:color w:val="000000"/>
      <w:lang w:val="en-US"/>
    </w:rPr>
  </w:style>
  <w:style w:type="character" w:customStyle="1" w:styleId="TitleChar">
    <w:name w:val="Title Char"/>
    <w:basedOn w:val="DefaultParagraphFont"/>
    <w:qFormat/>
    <w:rPr>
      <w:rFonts w:ascii="Calibri" w:hAnsi="Calibri" w:cs="Times New Roman (Headings CS)"/>
      <w:b/>
      <w:color w:val="FFFFFF"/>
      <w:kern w:val="2"/>
      <w:sz w:val="72"/>
      <w:szCs w:val="72"/>
      <w:lang w:val="en-US"/>
    </w:rPr>
  </w:style>
  <w:style w:type="character" w:customStyle="1" w:styleId="SubtitleChar">
    <w:name w:val="Subtitle Char"/>
    <w:basedOn w:val="DefaultParagraphFont"/>
    <w:qFormat/>
    <w:rPr>
      <w:rFonts w:ascii="Calibri" w:eastAsia="Calibri" w:hAnsi="Calibri" w:cs="Calibri"/>
      <w:color w:val="405D78"/>
      <w:sz w:val="44"/>
      <w:szCs w:val="44"/>
      <w:lang w:val="en-US"/>
    </w:rPr>
  </w:style>
  <w:style w:type="character" w:styleId="Strong">
    <w:name w:val="Strong"/>
    <w:qFormat/>
    <w:rPr>
      <w:rFonts w:ascii="Helvetica Neue Medium" w:hAnsi="Helvetica Neue Medium"/>
      <w:b/>
      <w:bCs/>
    </w:rPr>
  </w:style>
  <w:style w:type="character" w:customStyle="1" w:styleId="QuoteChar">
    <w:name w:val="Quote Char"/>
    <w:basedOn w:val="DefaultParagraphFont"/>
    <w:qFormat/>
    <w:rPr>
      <w:rFonts w:ascii="Helvetica Neue Light" w:eastAsia="Helvetica Neue Light" w:hAnsi="Helvetica Neue Light" w:cs="Helvetica Neue Light"/>
      <w:i/>
      <w:iCs/>
      <w:color w:val="000000"/>
      <w:lang w:val="en-US"/>
    </w:rPr>
  </w:style>
  <w:style w:type="character" w:customStyle="1" w:styleId="IntenseQuoteChar">
    <w:name w:val="Intense Quote Char"/>
    <w:basedOn w:val="DefaultParagraphFont"/>
    <w:qFormat/>
    <w:rPr>
      <w:rFonts w:ascii="Helvetica Neue Light" w:eastAsia="Helvetica Neue Light" w:hAnsi="Helvetica Neue Light" w:cs="Helvetica Neue Light"/>
      <w:b/>
      <w:bCs/>
      <w:i/>
      <w:iCs/>
      <w:color w:val="405D78"/>
      <w:lang w:val="en-US"/>
    </w:rPr>
  </w:style>
  <w:style w:type="character" w:styleId="SubtleEmphasis">
    <w:name w:val="Subtle Emphasis"/>
    <w:basedOn w:val="DefaultParagraphFont"/>
    <w:qFormat/>
    <w:rPr>
      <w:i/>
      <w:iCs/>
      <w:color w:val="808080"/>
    </w:rPr>
  </w:style>
  <w:style w:type="character" w:styleId="IntenseEmphasis">
    <w:name w:val="Intense Emphasis"/>
    <w:basedOn w:val="DefaultParagraphFont"/>
    <w:qFormat/>
    <w:rPr>
      <w:b/>
      <w:bCs/>
      <w:i/>
      <w:iCs/>
      <w:color w:val="405D78"/>
    </w:rPr>
  </w:style>
  <w:style w:type="character" w:styleId="SubtleReference">
    <w:name w:val="Subtle Reference"/>
    <w:basedOn w:val="DefaultParagraphFont"/>
    <w:qFormat/>
    <w:rPr>
      <w:smallCaps/>
      <w:color w:val="97467C"/>
      <w:u w:val="single"/>
    </w:rPr>
  </w:style>
  <w:style w:type="character" w:styleId="IntenseReference">
    <w:name w:val="Intense Reference"/>
    <w:basedOn w:val="DefaultParagraphFont"/>
    <w:qFormat/>
    <w:rPr>
      <w:b/>
      <w:bCs/>
      <w:smallCaps/>
      <w:color w:val="97467C"/>
      <w:spacing w:val="5"/>
      <w:u w:val="single"/>
    </w:rPr>
  </w:style>
  <w:style w:type="character" w:styleId="BookTitle">
    <w:name w:val="Book Title"/>
    <w:basedOn w:val="DefaultParagraphFont"/>
    <w:qFormat/>
    <w:rPr>
      <w:b/>
      <w:bCs/>
      <w:smallCaps/>
      <w:spacing w:val="5"/>
    </w:rPr>
  </w:style>
  <w:style w:type="character" w:styleId="UnresolvedMention">
    <w:name w:val="Unresolved Mention"/>
    <w:basedOn w:val="DefaultParagraphFont"/>
    <w:qFormat/>
    <w:rPr>
      <w:color w:val="605E5C"/>
    </w:rPr>
  </w:style>
  <w:style w:type="character" w:customStyle="1" w:styleId="FootnoteTextChar">
    <w:name w:val="Footnote Text Char"/>
    <w:basedOn w:val="DefaultParagraphFont"/>
    <w:qFormat/>
    <w:rPr>
      <w:rFonts w:ascii="Helvetica Neue Light" w:eastAsia="Helvetica Neue Light" w:hAnsi="Helvetica Neue Light" w:cs="Helvetica Neue Light"/>
      <w:color w:val="AEAAAA"/>
      <w:sz w:val="20"/>
      <w:szCs w:val="20"/>
      <w:lang w:val="en-US"/>
    </w:rPr>
  </w:style>
  <w:style w:type="character" w:customStyle="1" w:styleId="footnotereference1">
    <w:name w:val="footnote reference1"/>
    <w:basedOn w:val="DefaultParagraphFont"/>
    <w:qFormat/>
    <w:rPr>
      <w:vertAlign w:val="superscript"/>
    </w:rPr>
  </w:style>
  <w:style w:type="character" w:styleId="Hyperlink">
    <w:name w:val="Hyperlink"/>
    <w:basedOn w:val="DefaultParagraphFont"/>
    <w:rPr>
      <w:color w:val="47C2FC"/>
      <w:u w:val="single"/>
      <w:lang/>
    </w:rPr>
  </w:style>
  <w:style w:type="character" w:customStyle="1" w:styleId="CommentTextChar">
    <w:name w:val="Comment Text Char"/>
    <w:basedOn w:val="DefaultParagraphFont"/>
    <w:qFormat/>
    <w:rPr>
      <w:rFonts w:ascii="Helvetica Neue Light" w:eastAsia="Helvetica Neue Light" w:hAnsi="Helvetica Neue Light" w:cs="Helvetica Neue Light"/>
      <w:sz w:val="20"/>
      <w:szCs w:val="20"/>
      <w:lang w:val="en-US"/>
    </w:rPr>
  </w:style>
  <w:style w:type="character" w:customStyle="1" w:styleId="BodyTextChar">
    <w:name w:val="Body Text Char"/>
    <w:basedOn w:val="DefaultParagraphFont"/>
    <w:qFormat/>
    <w:rPr>
      <w:rFonts w:ascii="Helvetica Neue Light" w:eastAsia="Helvetica Neue Light" w:hAnsi="Helvetica Neue Light" w:cs="Helvetica Neue Light"/>
      <w:lang w:val="en-US"/>
    </w:rPr>
  </w:style>
  <w:style w:type="character" w:styleId="FollowedHyperlink">
    <w:name w:val="FollowedHyperlink"/>
    <w:basedOn w:val="DefaultParagraphFont"/>
    <w:qFormat/>
    <w:rPr>
      <w:color w:val="0388C5"/>
      <w:u w:val="single"/>
    </w:rPr>
  </w:style>
  <w:style w:type="character" w:customStyle="1" w:styleId="SignatureChar">
    <w:name w:val="Signature Char"/>
    <w:basedOn w:val="DefaultParagraphFont"/>
    <w:qFormat/>
    <w:rPr>
      <w:rFonts w:ascii="Helvetica Neue Light" w:eastAsia="Helvetica Neue Light" w:hAnsi="Helvetica Neue Light" w:cs="Helvetica Neue Light"/>
      <w:lang w:val="en-US"/>
    </w:rPr>
  </w:style>
  <w:style w:type="character" w:styleId="SmartHyperlink">
    <w:name w:val="Smart Hyperlink"/>
    <w:basedOn w:val="DefaultParagraphFont"/>
    <w:qFormat/>
    <w:rPr>
      <w:u w:val="dotted"/>
    </w:rPr>
  </w:style>
  <w:style w:type="character" w:customStyle="1" w:styleId="SalutationChar">
    <w:name w:val="Salutation Char"/>
    <w:basedOn w:val="DefaultParagraphFont"/>
    <w:qFormat/>
    <w:rPr>
      <w:rFonts w:ascii="Helvetica Neue Light" w:eastAsia="Helvetica Neue Light" w:hAnsi="Helvetica Neue Light" w:cs="Helvetica Neue Light"/>
      <w:lang w:val="en-US"/>
    </w:rPr>
  </w:style>
  <w:style w:type="character" w:customStyle="1" w:styleId="BodyText2Char">
    <w:name w:val="Body Text 2 Char"/>
    <w:basedOn w:val="DefaultParagraphFont"/>
    <w:qFormat/>
    <w:rPr>
      <w:rFonts w:ascii="Helvetica Neue Light" w:eastAsia="Helvetica Neue Light" w:hAnsi="Helvetica Neue Light" w:cs="Helvetica Neue Light"/>
      <w:lang w:val="en-US"/>
    </w:rPr>
  </w:style>
  <w:style w:type="character" w:styleId="PageNumber">
    <w:name w:val="page number"/>
    <w:basedOn w:val="DefaultParagraphFont"/>
    <w:qFormat/>
  </w:style>
  <w:style w:type="character" w:customStyle="1" w:styleId="SubtitleTitle2">
    <w:name w:val="SubtitleTitle 2"/>
    <w:basedOn w:val="DefaultParagraphFont"/>
    <w:qFormat/>
    <w:rPr>
      <w:sz w:val="48"/>
      <w:szCs w:val="48"/>
    </w:rPr>
  </w:style>
  <w:style w:type="character" w:customStyle="1" w:styleId="BodyTextFirstIndentChar">
    <w:name w:val="Body Text First Indent Char"/>
    <w:basedOn w:val="BodyTextChar"/>
    <w:qFormat/>
    <w:rPr>
      <w:rFonts w:ascii="Helvetica Neue Light" w:eastAsia="Helvetica Neue Light" w:hAnsi="Helvetica Neue Light" w:cs="Helvetica Neue Light"/>
      <w:lang w:val="en-US"/>
    </w:rPr>
  </w:style>
  <w:style w:type="character" w:customStyle="1" w:styleId="BodyTextIndentChar">
    <w:name w:val="Body Text Indent Char"/>
    <w:basedOn w:val="DefaultParagraphFont"/>
    <w:qFormat/>
    <w:rPr>
      <w:rFonts w:ascii="Helvetica Neue Light" w:eastAsia="Helvetica Neue Light" w:hAnsi="Helvetica Neue Light" w:cs="Helvetica Neue Light"/>
      <w:lang w:val="en-US"/>
    </w:rPr>
  </w:style>
  <w:style w:type="character" w:customStyle="1" w:styleId="BodyTextFirstIndent2Char">
    <w:name w:val="Body Text First Indent 2 Char"/>
    <w:basedOn w:val="BodyTextIndentChar"/>
    <w:qFormat/>
    <w:rPr>
      <w:rFonts w:ascii="Helvetica Neue Light" w:eastAsia="Helvetica Neue Light" w:hAnsi="Helvetica Neue Light" w:cs="Helvetica Neue Light"/>
      <w:lang w:val="en-US"/>
    </w:rPr>
  </w:style>
  <w:style w:type="character" w:customStyle="1" w:styleId="BodyTextIndent2Char">
    <w:name w:val="Body Text Indent 2 Char"/>
    <w:basedOn w:val="DefaultParagraphFont"/>
    <w:qFormat/>
    <w:rPr>
      <w:rFonts w:ascii="Helvetica Neue Light" w:eastAsia="Helvetica Neue Light" w:hAnsi="Helvetica Neue Light" w:cs="Helvetica Neue Light"/>
      <w:lang w:val="en-US"/>
    </w:rPr>
  </w:style>
  <w:style w:type="character" w:customStyle="1" w:styleId="BodyText3Char">
    <w:name w:val="Body Text 3 Char"/>
    <w:basedOn w:val="DefaultParagraphFont"/>
    <w:qFormat/>
    <w:rPr>
      <w:rFonts w:ascii="Helvetica Neue Light" w:eastAsia="Helvetica Neue Light" w:hAnsi="Helvetica Neue Light" w:cs="Helvetica Neue Light"/>
      <w:sz w:val="18"/>
      <w:szCs w:val="16"/>
      <w:lang w:val="en-US"/>
    </w:rPr>
  </w:style>
  <w:style w:type="character" w:customStyle="1" w:styleId="BodyTextIndent3Char">
    <w:name w:val="Body Text Indent 3 Char"/>
    <w:basedOn w:val="DefaultParagraphFont"/>
    <w:qFormat/>
    <w:rPr>
      <w:rFonts w:ascii="Helvetica Neue Light" w:eastAsia="Helvetica Neue Light" w:hAnsi="Helvetica Neue Light" w:cs="Helvetica Neue Light"/>
      <w:sz w:val="18"/>
      <w:szCs w:val="16"/>
      <w:lang w:val="en-US"/>
    </w:rPr>
  </w:style>
  <w:style w:type="character" w:customStyle="1" w:styleId="ClosingChar">
    <w:name w:val="Closing Char"/>
    <w:basedOn w:val="DefaultParagraphFont"/>
    <w:qFormat/>
    <w:rPr>
      <w:rFonts w:ascii="Helvetica Neue Light" w:eastAsia="Helvetica Neue Light" w:hAnsi="Helvetica Neue Light" w:cs="Helvetica Neue Light"/>
      <w:lang w:val="en-US"/>
    </w:rPr>
  </w:style>
  <w:style w:type="character" w:styleId="CommentReference">
    <w:name w:val="annotation reference"/>
    <w:basedOn w:val="DefaultParagraphFont"/>
    <w:qFormat/>
    <w:rPr>
      <w:sz w:val="16"/>
      <w:szCs w:val="16"/>
    </w:rPr>
  </w:style>
  <w:style w:type="character" w:styleId="LineNumber">
    <w:name w:val="line number"/>
    <w:basedOn w:val="DefaultParagraphFont"/>
    <w:qFormat/>
  </w:style>
  <w:style w:type="character" w:customStyle="1" w:styleId="Caratterinotaapidipagina">
    <w:name w:val="Caratteri nota a piè di pagina"/>
    <w:qFormat/>
  </w:style>
  <w:style w:type="character" w:customStyle="1" w:styleId="Caratterinotadichiusura">
    <w:name w:val="Caratteri nota di chiusura"/>
    <w:qFormat/>
  </w:style>
  <w:style w:type="character" w:customStyle="1" w:styleId="Punti">
    <w:name w:val="Punti"/>
    <w:qFormat/>
    <w:rPr>
      <w:rFonts w:ascii="OpenSymbol" w:eastAsia="OpenSymbol" w:hAnsi="OpenSymbol" w:cs="OpenSymbol"/>
    </w:rPr>
  </w:style>
  <w:style w:type="character" w:styleId="FootnoteReference">
    <w:name w:val="footnote reference"/>
    <w:rPr>
      <w:vertAlign w:val="superscript"/>
    </w:rPr>
  </w:style>
  <w:style w:type="character" w:styleId="EndnoteReference">
    <w:name w:val="endnote reference"/>
    <w:rPr>
      <w:vertAlign w:val="superscript"/>
    </w:rPr>
  </w:style>
  <w:style w:type="paragraph" w:customStyle="1" w:styleId="Titolo">
    <w:name w:val="Titolo"/>
    <w:basedOn w:val="Normal"/>
    <w:next w:val="BodyText"/>
    <w:qFormat/>
    <w:pPr>
      <w:keepNext/>
      <w:spacing w:before="240" w:after="120"/>
    </w:pPr>
    <w:rPr>
      <w:rFonts w:ascii="Arial" w:eastAsia="Microsoft YaHei" w:hAnsi="Arial" w:cs="Lucida Sans"/>
      <w:sz w:val="28"/>
      <w:szCs w:val="28"/>
    </w:rPr>
  </w:style>
  <w:style w:type="paragraph" w:styleId="BodyText">
    <w:name w:val="Body Text"/>
    <w:basedOn w:val="Normal"/>
    <w:pPr>
      <w:spacing w:after="240"/>
    </w:pPr>
  </w:style>
  <w:style w:type="paragraph" w:styleId="List">
    <w:name w:val="List"/>
    <w:basedOn w:val="Normal"/>
    <w:pPr>
      <w:ind w:left="360" w:hanging="360"/>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customStyle="1" w:styleId="Indice">
    <w:name w:val="Indice"/>
    <w:basedOn w:val="Normal"/>
    <w:qFormat/>
    <w:pPr>
      <w:suppressLineNumbers/>
    </w:pPr>
    <w:rPr>
      <w:rFonts w:cs="Lucida Sans"/>
    </w:rPr>
  </w:style>
  <w:style w:type="paragraph" w:customStyle="1" w:styleId="Intestazioneepidipagina">
    <w:name w:val="Intestazione e piè di pagina"/>
    <w:basedOn w:val="Normal"/>
    <w:qFormat/>
    <w:pPr>
      <w:suppressLineNumbers/>
      <w:tabs>
        <w:tab w:val="center" w:pos="4819"/>
        <w:tab w:val="right" w:pos="9638"/>
      </w:tabs>
    </w:pPr>
  </w:style>
  <w:style w:type="paragraph" w:styleId="Header">
    <w:name w:val="header"/>
    <w:basedOn w:val="Normal"/>
    <w:pPr>
      <w:suppressLineNumbers/>
      <w:tabs>
        <w:tab w:val="center" w:pos="4680"/>
        <w:tab w:val="right" w:pos="9360"/>
      </w:tabs>
      <w:spacing w:after="0" w:line="240" w:lineRule="auto"/>
    </w:pPr>
  </w:style>
  <w:style w:type="paragraph" w:styleId="Footer">
    <w:name w:val="footer"/>
    <w:basedOn w:val="Normal"/>
    <w:pPr>
      <w:suppressLineNumbers/>
      <w:tabs>
        <w:tab w:val="center" w:pos="4680"/>
        <w:tab w:val="right" w:pos="9360"/>
      </w:tabs>
      <w:spacing w:after="0" w:line="240" w:lineRule="auto"/>
    </w:pPr>
  </w:style>
  <w:style w:type="paragraph" w:customStyle="1" w:styleId="caption1">
    <w:name w:val="caption1"/>
    <w:basedOn w:val="Normal"/>
    <w:qFormat/>
    <w:pPr>
      <w:spacing w:line="240" w:lineRule="auto"/>
    </w:pPr>
    <w:rPr>
      <w:b/>
      <w:bCs/>
      <w:color w:val="405D78"/>
      <w:sz w:val="18"/>
      <w:szCs w:val="18"/>
    </w:rPr>
  </w:style>
  <w:style w:type="paragraph" w:styleId="ListParagraph">
    <w:name w:val="List Paragraph"/>
    <w:basedOn w:val="Normal"/>
    <w:qFormat/>
    <w:pPr>
      <w:ind w:left="720"/>
    </w:pPr>
  </w:style>
  <w:style w:type="paragraph" w:styleId="Quote">
    <w:name w:val="Quote"/>
    <w:basedOn w:val="Normal"/>
    <w:qFormat/>
    <w:rPr>
      <w:i/>
      <w:iCs/>
      <w:color w:val="000000"/>
    </w:rPr>
  </w:style>
  <w:style w:type="paragraph" w:styleId="IntenseQuote">
    <w:name w:val="Intense Quote"/>
    <w:basedOn w:val="Normal"/>
    <w:qFormat/>
    <w:pPr>
      <w:pBdr>
        <w:bottom w:val="single" w:sz="4" w:space="4" w:color="405D78"/>
      </w:pBdr>
      <w:spacing w:before="200" w:after="280"/>
      <w:ind w:left="936" w:right="936"/>
    </w:pPr>
    <w:rPr>
      <w:b/>
      <w:bCs/>
      <w:i/>
      <w:iCs/>
      <w:color w:val="405D78"/>
    </w:rPr>
  </w:style>
  <w:style w:type="paragraph" w:styleId="IndexHeading">
    <w:name w:val="index heading"/>
    <w:basedOn w:val="Titolo"/>
    <w:pPr>
      <w:suppressLineNumbers/>
    </w:pPr>
    <w:rPr>
      <w:b/>
      <w:bCs/>
      <w:sz w:val="32"/>
      <w:szCs w:val="32"/>
    </w:rPr>
  </w:style>
  <w:style w:type="paragraph" w:styleId="TOCHeading">
    <w:name w:val="TOC Heading"/>
    <w:basedOn w:val="Heading1"/>
    <w:qFormat/>
    <w:pPr>
      <w:suppressLineNumbers/>
    </w:pPr>
    <w:rPr>
      <w:b/>
      <w:bCs/>
      <w:sz w:val="32"/>
      <w:szCs w:val="32"/>
    </w:rPr>
  </w:style>
  <w:style w:type="paragraph" w:styleId="Revision">
    <w:name w:val="Revision"/>
    <w:qFormat/>
    <w:pPr>
      <w:spacing w:line="240" w:lineRule="auto"/>
    </w:pPr>
    <w:rPr>
      <w:lang w:val="en-US"/>
    </w:rPr>
  </w:style>
  <w:style w:type="paragraph" w:styleId="TOAHeading">
    <w:name w:val="toa heading"/>
    <w:basedOn w:val="Normal"/>
    <w:qFormat/>
    <w:pPr>
      <w:spacing w:before="120"/>
    </w:pPr>
    <w:rPr>
      <w:rFonts w:ascii="Calibri Light" w:hAnsi="Calibri Light"/>
      <w:b/>
      <w:bCs/>
      <w:sz w:val="24"/>
      <w:szCs w:val="24"/>
    </w:rPr>
  </w:style>
  <w:style w:type="paragraph" w:styleId="TableofAuthorities">
    <w:name w:val="table of authorities"/>
    <w:basedOn w:val="Normal"/>
    <w:qFormat/>
    <w:pPr>
      <w:spacing w:after="0"/>
      <w:ind w:left="220" w:hanging="220"/>
    </w:pPr>
  </w:style>
  <w:style w:type="paragraph" w:styleId="FootnoteText">
    <w:name w:val="footnote text"/>
    <w:basedOn w:val="Normal"/>
    <w:qFormat/>
    <w:pPr>
      <w:spacing w:after="0" w:line="240" w:lineRule="auto"/>
    </w:pPr>
    <w:rPr>
      <w:color w:val="AEAAAA"/>
      <w:sz w:val="20"/>
      <w:szCs w:val="20"/>
    </w:rPr>
  </w:style>
  <w:style w:type="paragraph" w:styleId="CommentText">
    <w:name w:val="annotation text"/>
    <w:basedOn w:val="Normal"/>
    <w:qFormat/>
    <w:pPr>
      <w:spacing w:after="0" w:line="240" w:lineRule="auto"/>
    </w:pPr>
    <w:rPr>
      <w:sz w:val="20"/>
      <w:szCs w:val="20"/>
    </w:rPr>
  </w:style>
  <w:style w:type="paragraph" w:styleId="TableofFigures">
    <w:name w:val="table of figures"/>
    <w:basedOn w:val="Normal"/>
    <w:qFormat/>
    <w:pPr>
      <w:spacing w:after="0"/>
    </w:pPr>
  </w:style>
  <w:style w:type="paragraph" w:styleId="Signature">
    <w:name w:val="Signature"/>
    <w:basedOn w:val="Normal"/>
    <w:pPr>
      <w:suppressLineNumbers/>
      <w:spacing w:after="0" w:line="240" w:lineRule="auto"/>
      <w:ind w:left="4320"/>
    </w:pPr>
  </w:style>
  <w:style w:type="paragraph" w:styleId="Salutation">
    <w:name w:val="Salutation"/>
    <w:basedOn w:val="Normal"/>
    <w:pPr>
      <w:suppressLineNumbers/>
    </w:pPr>
  </w:style>
  <w:style w:type="paragraph" w:styleId="BodyText2">
    <w:name w:val="Body Text 2"/>
    <w:basedOn w:val="BodyText"/>
    <w:qFormat/>
    <w:pPr>
      <w:spacing w:before="120" w:after="120" w:line="240" w:lineRule="auto"/>
    </w:pPr>
  </w:style>
  <w:style w:type="paragraph" w:styleId="TOC1">
    <w:name w:val="toc 1"/>
    <w:basedOn w:val="Normal"/>
    <w:pPr>
      <w:tabs>
        <w:tab w:val="right" w:leader="dot" w:pos="9638"/>
      </w:tabs>
      <w:spacing w:before="240" w:after="120"/>
    </w:pPr>
    <w:rPr>
      <w:rFonts w:ascii="Calibri" w:hAnsi="Calibri"/>
      <w:b/>
      <w:bCs/>
      <w:sz w:val="20"/>
      <w:szCs w:val="20"/>
    </w:rPr>
  </w:style>
  <w:style w:type="paragraph" w:styleId="TOC2">
    <w:name w:val="toc 2"/>
    <w:basedOn w:val="Normal"/>
    <w:pPr>
      <w:tabs>
        <w:tab w:val="right" w:leader="dot" w:pos="9355"/>
      </w:tabs>
      <w:spacing w:before="120" w:after="0"/>
      <w:ind w:left="220"/>
    </w:pPr>
    <w:rPr>
      <w:rFonts w:ascii="Calibri" w:hAnsi="Calibri"/>
      <w:i/>
      <w:iCs/>
      <w:sz w:val="20"/>
      <w:szCs w:val="20"/>
    </w:rPr>
  </w:style>
  <w:style w:type="paragraph" w:styleId="TOC3">
    <w:name w:val="toc 3"/>
    <w:basedOn w:val="Normal"/>
    <w:pPr>
      <w:tabs>
        <w:tab w:val="right" w:leader="dot" w:pos="9072"/>
      </w:tabs>
      <w:spacing w:after="0"/>
      <w:ind w:left="440"/>
    </w:pPr>
    <w:rPr>
      <w:rFonts w:ascii="Calibri" w:hAnsi="Calibri"/>
      <w:sz w:val="20"/>
      <w:szCs w:val="20"/>
    </w:rPr>
  </w:style>
  <w:style w:type="paragraph" w:styleId="TOC4">
    <w:name w:val="toc 4"/>
    <w:basedOn w:val="Normal"/>
    <w:pPr>
      <w:tabs>
        <w:tab w:val="right" w:leader="dot" w:pos="8789"/>
      </w:tabs>
      <w:spacing w:after="0"/>
      <w:ind w:left="660"/>
    </w:pPr>
    <w:rPr>
      <w:rFonts w:ascii="Calibri" w:hAnsi="Calibri"/>
      <w:sz w:val="20"/>
      <w:szCs w:val="20"/>
    </w:rPr>
  </w:style>
  <w:style w:type="paragraph" w:styleId="TOC5">
    <w:name w:val="toc 5"/>
    <w:basedOn w:val="Normal"/>
    <w:pPr>
      <w:tabs>
        <w:tab w:val="right" w:leader="dot" w:pos="8506"/>
      </w:tabs>
      <w:spacing w:after="0"/>
      <w:ind w:left="880"/>
    </w:pPr>
    <w:rPr>
      <w:rFonts w:ascii="Calibri" w:hAnsi="Calibri"/>
      <w:sz w:val="20"/>
      <w:szCs w:val="20"/>
    </w:rPr>
  </w:style>
  <w:style w:type="paragraph" w:styleId="TOC6">
    <w:name w:val="toc 6"/>
    <w:basedOn w:val="Normal"/>
    <w:pPr>
      <w:tabs>
        <w:tab w:val="right" w:leader="dot" w:pos="8223"/>
      </w:tabs>
      <w:spacing w:after="0"/>
      <w:ind w:left="1100"/>
    </w:pPr>
    <w:rPr>
      <w:rFonts w:ascii="Calibri" w:hAnsi="Calibri"/>
      <w:sz w:val="20"/>
      <w:szCs w:val="20"/>
    </w:rPr>
  </w:style>
  <w:style w:type="paragraph" w:customStyle="1" w:styleId="BodyTextIndent1">
    <w:name w:val="Body Text Indent1"/>
    <w:basedOn w:val="BodyText"/>
    <w:qFormat/>
    <w:pPr>
      <w:spacing w:after="200" w:line="276" w:lineRule="auto"/>
      <w:ind w:firstLine="360"/>
    </w:pPr>
  </w:style>
  <w:style w:type="paragraph" w:styleId="BodyTextIndent">
    <w:name w:val="Body Text Indent"/>
    <w:basedOn w:val="Normal"/>
    <w:pPr>
      <w:spacing w:after="120"/>
      <w:ind w:left="360"/>
    </w:pPr>
  </w:style>
  <w:style w:type="paragraph" w:styleId="BodyTextFirstIndent2">
    <w:name w:val="Body Text First Indent 2"/>
    <w:basedOn w:val="BodyTextIndent"/>
    <w:qFormat/>
    <w:pPr>
      <w:spacing w:after="200"/>
      <w:ind w:firstLine="360"/>
    </w:pPr>
  </w:style>
  <w:style w:type="paragraph" w:styleId="BodyTextIndent2">
    <w:name w:val="Body Text Indent 2"/>
    <w:basedOn w:val="Normal"/>
    <w:qFormat/>
    <w:pPr>
      <w:spacing w:after="120" w:line="480" w:lineRule="auto"/>
      <w:ind w:left="360"/>
    </w:pPr>
  </w:style>
  <w:style w:type="paragraph" w:styleId="BodyText3">
    <w:name w:val="Body Text 3"/>
    <w:basedOn w:val="Normal"/>
    <w:qFormat/>
    <w:pPr>
      <w:spacing w:after="120"/>
    </w:pPr>
    <w:rPr>
      <w:sz w:val="18"/>
      <w:szCs w:val="16"/>
    </w:rPr>
  </w:style>
  <w:style w:type="paragraph" w:styleId="BodyTextIndent3">
    <w:name w:val="Body Text Indent 3"/>
    <w:basedOn w:val="Normal"/>
    <w:qFormat/>
    <w:pPr>
      <w:spacing w:after="120"/>
      <w:ind w:left="360"/>
    </w:pPr>
    <w:rPr>
      <w:sz w:val="18"/>
      <w:szCs w:val="16"/>
    </w:rPr>
  </w:style>
  <w:style w:type="paragraph" w:styleId="Closing">
    <w:name w:val="Closing"/>
    <w:basedOn w:val="Normal"/>
    <w:qFormat/>
    <w:pPr>
      <w:spacing w:after="0" w:line="240" w:lineRule="auto"/>
      <w:ind w:left="4320"/>
    </w:pPr>
  </w:style>
  <w:style w:type="paragraph" w:styleId="TOC7">
    <w:name w:val="toc 7"/>
    <w:basedOn w:val="Normal"/>
    <w:pPr>
      <w:tabs>
        <w:tab w:val="right" w:leader="dot" w:pos="7940"/>
      </w:tabs>
      <w:spacing w:after="0"/>
      <w:ind w:left="1320"/>
    </w:pPr>
    <w:rPr>
      <w:rFonts w:ascii="Calibri" w:hAnsi="Calibri"/>
      <w:sz w:val="20"/>
      <w:szCs w:val="20"/>
    </w:rPr>
  </w:style>
  <w:style w:type="paragraph" w:styleId="TOC8">
    <w:name w:val="toc 8"/>
    <w:basedOn w:val="Normal"/>
    <w:pPr>
      <w:tabs>
        <w:tab w:val="right" w:leader="dot" w:pos="7657"/>
      </w:tabs>
      <w:spacing w:after="0"/>
      <w:ind w:left="1540"/>
    </w:pPr>
    <w:rPr>
      <w:rFonts w:ascii="Calibri" w:hAnsi="Calibri"/>
      <w:sz w:val="20"/>
      <w:szCs w:val="20"/>
    </w:rPr>
  </w:style>
  <w:style w:type="paragraph" w:styleId="TOC9">
    <w:name w:val="toc 9"/>
    <w:basedOn w:val="Normal"/>
    <w:pPr>
      <w:tabs>
        <w:tab w:val="right" w:leader="dot" w:pos="7374"/>
      </w:tabs>
      <w:spacing w:after="0"/>
      <w:ind w:left="1760"/>
    </w:pPr>
    <w:rPr>
      <w:rFonts w:ascii="Calibri" w:hAnsi="Calibri"/>
      <w:sz w:val="20"/>
      <w:szCs w:val="20"/>
    </w:rPr>
  </w:style>
  <w:style w:type="paragraph" w:styleId="BlockText">
    <w:name w:val="Block Text"/>
    <w:basedOn w:val="Normal"/>
    <w:qFormat/>
    <w:pPr>
      <w:keepLines/>
      <w:pBdr>
        <w:top w:val="single" w:sz="2" w:space="20" w:color="405D78"/>
        <w:left w:val="single" w:sz="2" w:space="14" w:color="405D78"/>
        <w:bottom w:val="single" w:sz="2" w:space="20" w:color="405D78"/>
        <w:right w:val="single" w:sz="2" w:space="14" w:color="405D78"/>
      </w:pBdr>
      <w:spacing w:before="240" w:after="120"/>
      <w:ind w:left="288" w:right="288"/>
    </w:pPr>
    <w:rPr>
      <w:rFonts w:ascii="Calibri Light" w:hAnsi="Calibri Light"/>
      <w:iCs/>
      <w:color w:val="405D78"/>
      <w:sz w:val="24"/>
      <w:szCs w:val="24"/>
    </w:rPr>
  </w:style>
  <w:style w:type="paragraph" w:styleId="ListBullet">
    <w:name w:val="List Bullet"/>
    <w:basedOn w:val="Normal"/>
    <w:qFormat/>
    <w:pPr>
      <w:spacing w:after="120"/>
    </w:pPr>
  </w:style>
  <w:style w:type="paragraph" w:styleId="ListBullet2">
    <w:name w:val="List Bullet 2"/>
    <w:basedOn w:val="Normal"/>
    <w:qFormat/>
    <w:pPr>
      <w:tabs>
        <w:tab w:val="left" w:pos="720"/>
      </w:tabs>
      <w:spacing w:after="120"/>
      <w:ind w:left="720" w:hanging="720"/>
    </w:pPr>
  </w:style>
  <w:style w:type="paragraph" w:customStyle="1" w:styleId="NumberedList">
    <w:name w:val="Numbered List"/>
    <w:basedOn w:val="ListBullet2"/>
    <w:qFormat/>
  </w:style>
  <w:style w:type="paragraph" w:styleId="ListNumber">
    <w:name w:val="List Number"/>
    <w:basedOn w:val="Normal"/>
    <w:qFormat/>
    <w:pPr>
      <w:tabs>
        <w:tab w:val="left" w:pos="720"/>
      </w:tabs>
      <w:spacing w:after="120"/>
      <w:ind w:left="720" w:hanging="720"/>
    </w:pPr>
  </w:style>
  <w:style w:type="paragraph" w:styleId="ListNumber2">
    <w:name w:val="List Number 2"/>
    <w:basedOn w:val="Normal"/>
    <w:qFormat/>
    <w:pPr>
      <w:tabs>
        <w:tab w:val="left" w:pos="720"/>
      </w:tabs>
      <w:spacing w:after="120"/>
      <w:ind w:left="720" w:hanging="720"/>
    </w:pPr>
  </w:style>
  <w:style w:type="paragraph" w:styleId="ListNumber3">
    <w:name w:val="List Number 3"/>
    <w:basedOn w:val="Normal"/>
    <w:qFormat/>
    <w:pPr>
      <w:tabs>
        <w:tab w:val="left" w:pos="720"/>
      </w:tabs>
      <w:spacing w:after="120"/>
      <w:ind w:left="720" w:hanging="720"/>
    </w:pPr>
  </w:style>
  <w:style w:type="paragraph" w:styleId="ListNumber4">
    <w:name w:val="List Number 4"/>
    <w:basedOn w:val="Normal"/>
    <w:qFormat/>
    <w:pPr>
      <w:tabs>
        <w:tab w:val="left" w:pos="720"/>
      </w:tabs>
      <w:spacing w:after="120"/>
      <w:ind w:left="720" w:hanging="720"/>
    </w:pPr>
  </w:style>
  <w:style w:type="paragraph" w:styleId="ListNumber5">
    <w:name w:val="List Number 5"/>
    <w:basedOn w:val="Normal"/>
    <w:qFormat/>
    <w:pPr>
      <w:tabs>
        <w:tab w:val="left" w:pos="720"/>
      </w:tabs>
      <w:spacing w:after="120"/>
      <w:ind w:left="720" w:hanging="720"/>
    </w:pPr>
  </w:style>
  <w:style w:type="paragraph" w:styleId="ListBullet3">
    <w:name w:val="List Bullet 3"/>
    <w:basedOn w:val="Normal"/>
    <w:qFormat/>
    <w:pPr>
      <w:tabs>
        <w:tab w:val="left" w:pos="720"/>
      </w:tabs>
      <w:spacing w:after="120"/>
      <w:ind w:left="720" w:hanging="720"/>
    </w:pPr>
  </w:style>
  <w:style w:type="paragraph" w:styleId="ListBullet5">
    <w:name w:val="List Bullet 5"/>
    <w:basedOn w:val="Normal"/>
    <w:qFormat/>
    <w:pPr>
      <w:tabs>
        <w:tab w:val="left" w:pos="720"/>
      </w:tabs>
      <w:spacing w:after="120"/>
      <w:ind w:left="720" w:hanging="720"/>
    </w:pPr>
  </w:style>
  <w:style w:type="paragraph" w:styleId="ListBullet4">
    <w:name w:val="List Bullet 4"/>
    <w:basedOn w:val="Normal"/>
    <w:qFormat/>
    <w:pPr>
      <w:tabs>
        <w:tab w:val="left" w:pos="720"/>
      </w:tabs>
      <w:spacing w:after="120"/>
      <w:ind w:left="720" w:hanging="720"/>
    </w:pPr>
  </w:style>
  <w:style w:type="paragraph" w:customStyle="1" w:styleId="Heading2WithNumbers">
    <w:name w:val="Heading 2 With Numbers"/>
    <w:basedOn w:val="ListNumber2"/>
    <w:qFormat/>
    <w:pPr>
      <w:spacing w:line="240" w:lineRule="auto"/>
    </w:pPr>
    <w:rPr>
      <w:rFonts w:ascii="Calibri" w:hAnsi="Calibri"/>
      <w:b/>
      <w:color w:val="405D78"/>
      <w:sz w:val="28"/>
      <w:szCs w:val="28"/>
    </w:rPr>
  </w:style>
  <w:style w:type="paragraph" w:customStyle="1" w:styleId="1Heading1">
    <w:name w:val="1. Heading 1"/>
    <w:basedOn w:val="Heading1"/>
    <w:qFormat/>
    <w:pPr>
      <w:tabs>
        <w:tab w:val="left" w:pos="720"/>
      </w:tabs>
      <w:ind w:left="720" w:hanging="720"/>
    </w:pPr>
  </w:style>
  <w:style w:type="paragraph" w:customStyle="1" w:styleId="Testopreformattato">
    <w:name w:val="Testo preformattato"/>
    <w:basedOn w:val="Normal"/>
    <w:qFormat/>
    <w:pPr>
      <w:spacing w:after="0"/>
    </w:pPr>
    <w:rPr>
      <w:rFonts w:ascii="Courier New" w:eastAsia="Courier New" w:hAnsi="Courier New" w:cs="Courier New"/>
      <w:sz w:val="20"/>
      <w:szCs w:val="20"/>
    </w:rPr>
  </w:style>
  <w:style w:type="paragraph" w:customStyle="1" w:styleId="Contenutotabella">
    <w:name w:val="Contenuto tabella"/>
    <w:basedOn w:val="Normal"/>
    <w:qFormat/>
    <w:pPr>
      <w:suppressLineNumbers/>
    </w:pPr>
  </w:style>
  <w:style w:type="paragraph" w:styleId="Subtitle">
    <w:name w:val="Subtitle"/>
    <w:basedOn w:val="Normal"/>
    <w:next w:val="Normal"/>
    <w:uiPriority w:val="11"/>
    <w:qFormat/>
    <w:pPr>
      <w:spacing w:before="240"/>
    </w:pPr>
    <w:rPr>
      <w:rFonts w:ascii="Calibri" w:eastAsia="Calibri" w:hAnsi="Calibri" w:cs="Calibri"/>
      <w:i/>
      <w:iCs/>
      <w:color w:val="405D78"/>
      <w:sz w:val="44"/>
      <w:szCs w:val="44"/>
    </w:rPr>
  </w:style>
  <w:style w:type="table" w:customStyle="1" w:styleId="a">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80YPQDZ8nY+Au9uMB0vkAqpGYA==">CgMxLjAyD2lkLnlzMW4ycXR4N2JxMDgAciExY2QtM3VWWGdSa3p3bF8tY1RRQnJwVWl2N1NRb0tWcWI=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653</Words>
  <Characters>3793</Characters>
  <Application>Microsoft Office Word</Application>
  <DocSecurity>0</DocSecurity>
  <Lines>108</Lines>
  <Paragraphs>27</Paragraphs>
  <ScaleCrop>false</ScaleCrop>
  <Company/>
  <LinksUpToDate>false</LinksUpToDate>
  <CharactersWithSpaces>4441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Kyra Loat</cp:lastModifiedBy>
  <cp:revision>2</cp:revision>
  <dcterms:created xsi:type="dcterms:W3CDTF">2023-09-12T18:23:00Z</dcterms:created>
  <dcterms:modified xsi:type="dcterms:W3CDTF">2026-01-14T18:55:00Z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